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5E" w:rsidRDefault="00E65905">
      <w:pPr>
        <w:jc w:val="both"/>
      </w:pPr>
      <w:bookmarkStart w:id="0" w:name="_GoBack"/>
      <w:bookmarkEnd w:id="0"/>
      <w:r>
        <w:rPr>
          <w:b/>
          <w:i/>
        </w:rPr>
        <w:t>Suvestinė redakcija nuo 2014-10-01</w:t>
      </w:r>
    </w:p>
    <w:p w:rsidR="000A165E" w:rsidRDefault="000A165E">
      <w:pPr>
        <w:jc w:val="both"/>
        <w:rPr>
          <w:sz w:val="20"/>
        </w:rPr>
      </w:pPr>
    </w:p>
    <w:p w:rsidR="000A165E" w:rsidRDefault="00E65905">
      <w:pPr>
        <w:jc w:val="both"/>
        <w:rPr>
          <w:sz w:val="20"/>
        </w:rPr>
      </w:pPr>
      <w:r>
        <w:rPr>
          <w:i/>
          <w:sz w:val="20"/>
        </w:rPr>
        <w:t xml:space="preserve">Įstatymas paskelbtas: Žin. 2012, 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136-6957</w:t>
        </w:r>
      </w:hyperlink>
      <w:r>
        <w:rPr>
          <w:rFonts w:eastAsia="MS Mincho"/>
          <w:i/>
          <w:iCs/>
          <w:sz w:val="20"/>
        </w:rPr>
        <w:t>, i. k. 1121010ISTA0XI-2386</w:t>
      </w:r>
    </w:p>
    <w:p w:rsidR="000A165E" w:rsidRDefault="000A165E">
      <w:pPr>
        <w:jc w:val="both"/>
        <w:rPr>
          <w:sz w:val="20"/>
        </w:rPr>
      </w:pPr>
    </w:p>
    <w:p w:rsidR="000A165E" w:rsidRDefault="00E65905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 w:rsidR="000A165E" w:rsidRDefault="00E65905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ADMINISTRACINĖS NAŠTOS MAŽINIMO </w:t>
      </w:r>
      <w:r>
        <w:rPr>
          <w:b/>
          <w:bCs/>
          <w:caps/>
          <w:color w:val="000000"/>
        </w:rPr>
        <w:br/>
        <w:t>Į S T A T Y M A S</w:t>
      </w:r>
    </w:p>
    <w:p w:rsidR="000A165E" w:rsidRDefault="000A165E">
      <w:pPr>
        <w:widowControl w:val="0"/>
        <w:ind w:firstLine="567"/>
        <w:jc w:val="both"/>
        <w:rPr>
          <w:color w:val="000000"/>
        </w:rPr>
      </w:pPr>
    </w:p>
    <w:p w:rsidR="000A165E" w:rsidRDefault="00E65905"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2012 m. lapkričio 8 d. Nr. XI-2386 </w:t>
      </w:r>
    </w:p>
    <w:p w:rsidR="000A165E" w:rsidRDefault="00E65905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:rsidR="000A165E" w:rsidRDefault="000A165E">
      <w:pPr>
        <w:widowControl w:val="0"/>
        <w:ind w:firstLine="567"/>
        <w:jc w:val="both"/>
        <w:rPr>
          <w:b/>
          <w:bCs/>
          <w:color w:val="000000"/>
        </w:rPr>
      </w:pPr>
    </w:p>
    <w:p w:rsidR="000A165E" w:rsidRDefault="000A165E">
      <w:pPr>
        <w:widowControl w:val="0"/>
        <w:ind w:firstLine="567"/>
        <w:jc w:val="both"/>
        <w:rPr>
          <w:b/>
          <w:bCs/>
          <w:color w:val="000000"/>
        </w:rPr>
      </w:pP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Lietuvos Respublikos Seimas,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atsižvelgdamas į tai, kad nepagrįsta ir neproporcinga administracinė naš</w:t>
      </w:r>
      <w:r>
        <w:rPr>
          <w:color w:val="000000"/>
        </w:rPr>
        <w:t>ta turi rimtą neigiamą poveikį šalies gyventojams, ekonomikai ir verslo aplinkai;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pabrėždamas poreikį imtis administracinės naštos mažinimo priemonių siekiant taupyti piliečių, verslo subjektų ir valstybės finansinius, materialinius ir nematerialinius ište</w:t>
      </w:r>
      <w:r>
        <w:rPr>
          <w:color w:val="000000"/>
        </w:rPr>
        <w:t>klius;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atsižvelgdamas į tai, kad valstybė turi prievolę sukurti pačias geriausias sąlygas verslo aplinkai ir piliečiams;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nustatydamas tikslą, kad naujais teisės aktais negali būti sukurta neproporcinga papildoma administracinė našta;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siekdamas didinti pili</w:t>
      </w:r>
      <w:r>
        <w:rPr>
          <w:color w:val="000000"/>
        </w:rPr>
        <w:t>ečių pasitikėjimą valstybe ir institucijomis,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p r i i m a šį Lietuvos Respublikos administracinės naštos mažinimo įstatymą.</w:t>
      </w:r>
    </w:p>
    <w:p w:rsidR="000A165E" w:rsidRDefault="000A165E">
      <w:pPr>
        <w:widowControl w:val="0"/>
        <w:ind w:firstLine="567"/>
        <w:jc w:val="both"/>
      </w:pPr>
    </w:p>
    <w:p w:rsidR="000A165E" w:rsidRDefault="00E65905">
      <w:pPr>
        <w:widowControl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 straipsnis. Įstatymo tikslas ir paskirtis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1. Šio įstatymo tikslas – užtikrinti darnų administracinės naštos mažinimo procesą, </w:t>
      </w:r>
      <w:r>
        <w:rPr>
          <w:color w:val="000000"/>
        </w:rPr>
        <w:t>orientuotą į piliečių, verslo subjektų ir valstybės interesus, kuo mažesnėmis sąnaudomis pasiekti teisės aktuose numatytų tikslų.</w:t>
      </w:r>
    </w:p>
    <w:p w:rsidR="000A165E" w:rsidRDefault="00E65905">
      <w:pPr>
        <w:widowControl w:val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2. Šiuo įstatymu taip pat siekiama užtikrinti administracinės naštos stebėseną, ypač nepagrįstos administracinės naštos mažini</w:t>
      </w:r>
      <w:r>
        <w:rPr>
          <w:color w:val="000000"/>
        </w:rPr>
        <w:t>mą.</w:t>
      </w:r>
    </w:p>
    <w:p w:rsidR="000A165E" w:rsidRDefault="00E65905">
      <w:pPr>
        <w:widowControl w:val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3. Šis įstatymas taikomas šio įstatymo 2 straipsnio 2 dalyje nurodytiems asmenims.</w:t>
      </w:r>
    </w:p>
    <w:p w:rsidR="000A165E" w:rsidRDefault="000A165E">
      <w:pPr>
        <w:widowControl w:val="0"/>
        <w:ind w:firstLine="567"/>
        <w:jc w:val="both"/>
      </w:pPr>
    </w:p>
    <w:p w:rsidR="000A165E" w:rsidRDefault="00E65905">
      <w:pPr>
        <w:widowControl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 straipsnis. Pagrindinės šio įstatymo sąvokos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>Administracinė našta</w:t>
      </w:r>
      <w:r>
        <w:rPr>
          <w:color w:val="000000"/>
        </w:rPr>
        <w:t xml:space="preserve"> – laiko sąnaudos ir finansinės išlaidos, kurias patiria ar gali patirti asmenys vykdydami teisės aktuose nustatytus ar teisės aktų projektuose siūlomus nustatyti informacinius įpareigojimus.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b/>
          <w:bCs/>
          <w:color w:val="000000"/>
        </w:rPr>
        <w:t>Asmuo</w:t>
      </w:r>
      <w:r>
        <w:rPr>
          <w:color w:val="000000"/>
        </w:rPr>
        <w:t xml:space="preserve"> – Lietuvos Respublikos pilietis, kitas fizinis asmuo (u</w:t>
      </w:r>
      <w:r>
        <w:rPr>
          <w:color w:val="000000"/>
        </w:rPr>
        <w:t>žsienietis), įmonė, įstaiga ar organizacija arba kitas juridinis asmuo, jų junginys (asociacija, susivienijimas, konsorciumas ir panašiai).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bCs/>
          <w:color w:val="000000"/>
        </w:rPr>
        <w:t>Informacinis įpareigojimas</w:t>
      </w:r>
      <w:r>
        <w:rPr>
          <w:color w:val="000000"/>
        </w:rPr>
        <w:t xml:space="preserve"> – teisės akte asmeniui nustatytas ar teisės akto projekte siūlomas asmeniui nustatyti </w:t>
      </w:r>
      <w:r>
        <w:rPr>
          <w:color w:val="000000"/>
        </w:rPr>
        <w:t>įpareigojimas pateikti valstybės ar savivaldybių institucijoms ar įstaigoms arba jų įgaliotiems asmenims informaciją apie savo veiklą ar gaminius arba kitą teisės akte nustatytą ar teisės akto projekte siūlomą nustatyti informaciją; tokią informaciją kaupt</w:t>
      </w:r>
      <w:r>
        <w:rPr>
          <w:color w:val="000000"/>
        </w:rPr>
        <w:t>i, saugoti ir pateikti valstybės ar savivaldybių institucijų ar įstaigų arba jų įgalioto asmens atskiru pareikalavimu; pateikti informaciją trečiosioms šalims.</w:t>
      </w:r>
    </w:p>
    <w:p w:rsidR="000A165E" w:rsidRDefault="00E65905">
      <w:pPr>
        <w:widowControl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 xml:space="preserve">4. </w:t>
      </w:r>
      <w:r>
        <w:rPr>
          <w:b/>
          <w:bCs/>
          <w:color w:val="000000"/>
        </w:rPr>
        <w:t>Tikslinė grupė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– grupė asmenų, kurie privalo vykdyti tiriamą sritį reguliuojančiuose teisės a</w:t>
      </w:r>
      <w:r>
        <w:rPr>
          <w:color w:val="000000"/>
        </w:rPr>
        <w:t>ktuose nustatytus informacinius įpareigojimus.</w:t>
      </w:r>
    </w:p>
    <w:p w:rsidR="000A165E" w:rsidRDefault="000A165E">
      <w:pPr>
        <w:widowControl w:val="0"/>
        <w:ind w:firstLine="567"/>
        <w:jc w:val="both"/>
      </w:pPr>
    </w:p>
    <w:p w:rsidR="000A165E" w:rsidRDefault="00E65905">
      <w:pPr>
        <w:widowControl w:val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3 straipsnis. Administracinės naštos mažinimo priemonės ir jų taikymas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 Pagal šį įstatymą turi būti taikomos šios administracinės naštos mažinimo priemonės: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1) esamo reguliavimo panaikinimas, sumažinimas, k</w:t>
      </w:r>
      <w:r>
        <w:rPr>
          <w:color w:val="000000"/>
        </w:rPr>
        <w:t>onsolidavimas arba pagerinimas;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2) proceso supaprastinimas vykdant teisės aktuose nustatytus informacinius įpareigojimus;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3) institucijų keitimasis turimais duomenimis ir informacija;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4) informacinių technologijų ir elektroninių paslaugų plėtojimas;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5) išs</w:t>
      </w:r>
      <w:r>
        <w:rPr>
          <w:color w:val="000000"/>
        </w:rPr>
        <w:t>amios informacijos ir konkrečių veiksmų informaciniams įpareigojimams įvykdyti pateikimas;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6) teisės aktų sukeliamos administracinės naštos įvertinimas;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7) teisės aktų projektų sukeliamos administracinės naštos įvertinimas;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8) Europos Sąjungos teisės aktų,</w:t>
      </w:r>
      <w:r>
        <w:rPr>
          <w:color w:val="000000"/>
        </w:rPr>
        <w:t xml:space="preserve"> perkeliamų į nacionalinę teisę, administracinės naštos įvertinimas;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9) tikslinių grupių apklausų organizavimas siekiant nustatyti labiausiai abejotinus informacinius įpareigojimus, kurių uždedama administracinė našta nėra didelė, tačiau jų vykdymas sudaro</w:t>
      </w:r>
      <w:r>
        <w:rPr>
          <w:color w:val="000000"/>
        </w:rPr>
        <w:t xml:space="preserve"> nepagrįstų nepatogumų.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2. Administracinė našta valstybės ir savivaldybių institucijose ir įstaigose nustatoma ir vertinama pagal Lietuvos Respublikos Vyriausybės (toliau – Vyriausybė) patvirtintas metodikas.</w:t>
      </w:r>
    </w:p>
    <w:p w:rsidR="000A165E" w:rsidRDefault="000A165E">
      <w:pPr>
        <w:widowControl w:val="0"/>
        <w:ind w:firstLine="567"/>
        <w:jc w:val="both"/>
      </w:pPr>
    </w:p>
    <w:p w:rsidR="000A165E" w:rsidRDefault="00E65905">
      <w:pPr>
        <w:widowControl w:val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4 straipsnis. Administracinės naštos mažinimo </w:t>
      </w:r>
      <w:r>
        <w:rPr>
          <w:b/>
          <w:bCs/>
          <w:color w:val="000000"/>
        </w:rPr>
        <w:t>principai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Taikant administracinės naštos mažinimo priemones, vadovaujamasi šiais principais: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1) turi būti siekiama sumažinti reikalaujamų ataskaitų teikimo dažnumą iki minimalaus lygio, būtino pagrindiniams teisės aktų tikslams pasiekti, ir, jei įmanoma, s</w:t>
      </w:r>
      <w:r>
        <w:rPr>
          <w:color w:val="000000"/>
        </w:rPr>
        <w:t>uvienodinti skirtingų susijusių teisės aktų ataskaitų teikimo dažnumą;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2) turi būti patikrinta, ar tas pats informacinis įpareigojimas teikti informaciją nėra nustatytas kelis kartus skirtinguose teisės aktuose;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3) turi būti prioritetiškai siekiama ataskai</w:t>
      </w:r>
      <w:r>
        <w:rPr>
          <w:color w:val="000000"/>
        </w:rPr>
        <w:t>tų teikimo elektroniniu būdu ir internetu vietoj šiuo metu privalomo spausdintos informacijos rinkimo;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4) turi būti įvertinta galimybė nustatyti informacinių įpareigojimų vykdymo išimtis smulkiojo ir vidutinio verslo subjektams;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5) turi būti įvertinta gali</w:t>
      </w:r>
      <w:r>
        <w:rPr>
          <w:color w:val="000000"/>
        </w:rPr>
        <w:t>mybė pakeisti visiems verslo subjektams tam tikrame sektoriuje taikomus reikalavimus teikti informaciją rizika pagrįstu požiūriu, t. y. nustatyti reikalavimus teikti informaciją tiems verslo subjektams, kurie vykdo didžiausią riziką keliančią veiklą;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6) tu</w:t>
      </w:r>
      <w:r>
        <w:rPr>
          <w:color w:val="000000"/>
        </w:rPr>
        <w:t>ri būti sumažinti arba pašalinti reikalavimai teikti informaciją, jeigu šie reikalavimai yra susiję su esminiais reikalavimais, kurių buvo atsisakyta arba kurie buvo pakeisti;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7) turi būti siekiama sumažinti laiko sąnaudas pildant įvairius duomenų ir (ar) </w:t>
      </w:r>
      <w:r>
        <w:rPr>
          <w:color w:val="000000"/>
        </w:rPr>
        <w:t>informacijos pateikimo dokumentus, t. y. siekiama šių dokumentų pildymo aiškumo ir konkretumo;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8) turi būti siekiama nereikalingų ataskaitų, patikrinimų, duomenų ir informacijos reikalavimų panaikinimo.</w:t>
      </w:r>
    </w:p>
    <w:p w:rsidR="000A165E" w:rsidRDefault="000A165E">
      <w:pPr>
        <w:widowControl w:val="0"/>
        <w:ind w:firstLine="567"/>
        <w:jc w:val="both"/>
      </w:pPr>
    </w:p>
    <w:p w:rsidR="000A165E" w:rsidRDefault="00E65905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left="2040" w:hanging="1473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5 straipsnis. Administracinės naštos mažinimo </w:t>
      </w:r>
      <w:r>
        <w:rPr>
          <w:b/>
          <w:bCs/>
          <w:color w:val="000000"/>
          <w:szCs w:val="24"/>
          <w:lang w:eastAsia="lt-LT"/>
        </w:rPr>
        <w:t>priemonių planas ir informacijos apie šio plano vykdymą viešumas</w:t>
      </w:r>
    </w:p>
    <w:p w:rsidR="000A165E" w:rsidRDefault="00E6590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 Dvejų metų administracinės naštos mažinimo priemonių planą (nurodant konkrečių veiksmų įvykdymo terminus) tvirtina Vyriausybė ir jį pateikia Lietuvos Respublikos Seimui (toliau – Seimas).</w:t>
      </w:r>
    </w:p>
    <w:p w:rsidR="000A165E" w:rsidRDefault="00E65905">
      <w:pPr>
        <w:widowControl w:val="0"/>
        <w:ind w:firstLine="567"/>
        <w:jc w:val="both"/>
      </w:pPr>
      <w:r>
        <w:rPr>
          <w:color w:val="000000"/>
          <w:szCs w:val="24"/>
          <w:lang w:eastAsia="lt-LT"/>
        </w:rPr>
        <w:t>2. Informacija apie Administracinės naštos mažinimo priemonių plano vykdymą skelbiama ir ne rečiau kaip kartą per pusmetį atnaujinama Vyriausybės interneto svetainėje.</w:t>
      </w:r>
      <w:r>
        <w:t xml:space="preserve"> </w:t>
      </w:r>
    </w:p>
    <w:p w:rsidR="000A165E" w:rsidRDefault="00E6590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Straipsnio pakeitimai:</w:t>
      </w:r>
    </w:p>
    <w:p w:rsidR="000A165E" w:rsidRDefault="00E6590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0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XII-580</w:t>
        </w:r>
      </w:hyperlink>
      <w:r>
        <w:rPr>
          <w:rFonts w:eastAsia="MS Mincho"/>
          <w:i/>
          <w:iCs/>
          <w:sz w:val="20"/>
        </w:rPr>
        <w:t>, 2013-11-07, Žin., 2013, Nr. 120-6052 (2013-11-23), i. k. 1131010ISTA0XII-580</w:t>
      </w:r>
    </w:p>
    <w:p w:rsidR="000A165E" w:rsidRDefault="000A165E"/>
    <w:p w:rsidR="000A165E" w:rsidRDefault="00E65905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left="2040" w:hanging="1473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6 straipsnis. Administracinės naštos mažinimo priemonės savivaldybių strateginio planavimo dokumentuose ir informacijos apie jų vykdymą viešumas</w:t>
      </w:r>
    </w:p>
    <w:p w:rsidR="000A165E" w:rsidRDefault="00E6590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 xml:space="preserve"> Administracinės naštos mažinimo priemonės įtraukiamos į savivaldybių taryboms teikiamus tvirtinti savivaldybių strateginių veiklos planų projektus.</w:t>
      </w:r>
    </w:p>
    <w:p w:rsidR="000A165E" w:rsidRDefault="00E65905">
      <w:pPr>
        <w:widowControl w:val="0"/>
        <w:ind w:firstLine="567"/>
        <w:jc w:val="both"/>
        <w:rPr>
          <w:b/>
          <w:bCs/>
          <w:color w:val="000000"/>
        </w:rPr>
      </w:pPr>
      <w:r>
        <w:rPr>
          <w:color w:val="000000"/>
          <w:szCs w:val="24"/>
          <w:lang w:eastAsia="lt-LT"/>
        </w:rPr>
        <w:t>2. Informacija apie administracinės naštos mažinimo priemonių vykdymą skelbiama ir ne rečiau kaip kartą per</w:t>
      </w:r>
      <w:r>
        <w:rPr>
          <w:color w:val="000000"/>
          <w:szCs w:val="24"/>
          <w:lang w:eastAsia="lt-LT"/>
        </w:rPr>
        <w:t xml:space="preserve"> pusmetį atnaujinama savivaldybių interneto svetainėse.</w:t>
      </w:r>
      <w:r>
        <w:t xml:space="preserve"> </w:t>
      </w:r>
    </w:p>
    <w:p w:rsidR="000A165E" w:rsidRDefault="00E6590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Straipsnio pakeitimai:</w:t>
      </w:r>
    </w:p>
    <w:p w:rsidR="000A165E" w:rsidRDefault="00E6590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1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XII-580</w:t>
        </w:r>
      </w:hyperlink>
      <w:r>
        <w:rPr>
          <w:rFonts w:eastAsia="MS Mincho"/>
          <w:i/>
          <w:iCs/>
          <w:sz w:val="20"/>
        </w:rPr>
        <w:t>, 2013-11-07, Žin., 2013, Nr. 120-6052 (2013-11-23), i. k. 1131010ISTA0XII-580</w:t>
      </w:r>
    </w:p>
    <w:p w:rsidR="000A165E" w:rsidRDefault="000A165E"/>
    <w:p w:rsidR="000A165E" w:rsidRDefault="00E65905">
      <w:pPr>
        <w:widowControl w:val="0"/>
        <w:ind w:left="2040" w:hanging="1473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lastRenderedPageBreak/>
        <w:t>7 s</w:t>
      </w:r>
      <w:r>
        <w:rPr>
          <w:b/>
          <w:bCs/>
          <w:color w:val="000000"/>
          <w:szCs w:val="24"/>
          <w:lang w:eastAsia="lt-LT"/>
        </w:rPr>
        <w:t>traipsnis. Administracinės naštos mažinimo priemonių plano vykdymo kontrolė</w:t>
      </w:r>
    </w:p>
    <w:p w:rsidR="000A165E" w:rsidRDefault="00E6590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 Vyriausybė, teikdama metinę veiklos ataskaitą, privalo joje nurodyti ir įvertinti praėjusio ataskaitinio laikotarpio Administracinės naštos mažinimo priemonių plano vykdymo rezu</w:t>
      </w:r>
      <w:r>
        <w:rPr>
          <w:color w:val="000000"/>
          <w:szCs w:val="24"/>
          <w:lang w:eastAsia="lt-LT"/>
        </w:rPr>
        <w:t>ltatus.</w:t>
      </w:r>
    </w:p>
    <w:p w:rsidR="000A165E" w:rsidRDefault="00E6590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2. Savivaldybių tarybos, Lietuvos Respublikos vietos savivaldos įstatymo nustatyta tvarka teikdamos veiklos ataskaitas, savivaldybės bendruomenei privalo jose nurodyti ir įvertinti praėjusio ataskaitinio laikotarpio administracinės naštos mažinimo </w:t>
      </w:r>
      <w:r>
        <w:rPr>
          <w:color w:val="000000"/>
          <w:szCs w:val="24"/>
          <w:lang w:eastAsia="lt-LT"/>
        </w:rPr>
        <w:t>priemonių vykdymo rezultatus.</w:t>
      </w:r>
    </w:p>
    <w:p w:rsidR="000A165E" w:rsidRDefault="00E65905">
      <w:pPr>
        <w:widowControl w:val="0"/>
        <w:ind w:firstLine="567"/>
        <w:jc w:val="both"/>
      </w:pPr>
      <w:r>
        <w:rPr>
          <w:color w:val="000000"/>
          <w:szCs w:val="24"/>
          <w:lang w:eastAsia="lt-LT"/>
        </w:rPr>
        <w:t>3. Savivaldybių centralizuotos vidaus audito tarnybos pasibaigus pusmečiui vertina, kaip vykdomos administracinės naštos mažinimo priemonės, vadovaudamosi Lietuvos Respublikos vidaus kontrolės ir vidaus audito įstatymu ir kita</w:t>
      </w:r>
      <w:r>
        <w:rPr>
          <w:color w:val="000000"/>
          <w:szCs w:val="24"/>
          <w:lang w:eastAsia="lt-LT"/>
        </w:rPr>
        <w:t>is vidaus auditą reglamentuojančiais teisės aktais. Savivaldybių centralizuotų vidaus audito tarnybų ataskaitos dėl administracinės naštos mažinimo priemonių vykdymo vertinimo skelbiamos savivaldybių interneto svetainėse.</w:t>
      </w:r>
      <w:r>
        <w:t xml:space="preserve"> </w:t>
      </w:r>
    </w:p>
    <w:p w:rsidR="000A165E" w:rsidRDefault="00E6590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Straipsnio pakeitimai:</w:t>
      </w:r>
    </w:p>
    <w:p w:rsidR="000A165E" w:rsidRDefault="00E6590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XII-580</w:t>
        </w:r>
      </w:hyperlink>
      <w:r>
        <w:rPr>
          <w:rFonts w:eastAsia="MS Mincho"/>
          <w:i/>
          <w:iCs/>
          <w:sz w:val="20"/>
        </w:rPr>
        <w:t>, 2013-11-07, Žin., 2013, Nr. 120-6052 (2013-11-23), i. k. 1131010ISTA0XII-580</w:t>
      </w:r>
    </w:p>
    <w:p w:rsidR="000A165E" w:rsidRDefault="000A165E"/>
    <w:p w:rsidR="000A165E" w:rsidRDefault="00E65905">
      <w:pPr>
        <w:widowControl w:val="0"/>
        <w:ind w:firstLine="567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8 straipsnis. Geresnio reguliavimo priežiūros komisija</w:t>
      </w:r>
    </w:p>
    <w:p w:rsidR="000A165E" w:rsidRDefault="00E6590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1. Geresnio reguliavimo priežiūros </w:t>
      </w:r>
      <w:r>
        <w:rPr>
          <w:color w:val="000000"/>
          <w:szCs w:val="24"/>
          <w:lang w:eastAsia="lt-LT"/>
        </w:rPr>
        <w:t>komisija (toliau – Komisija) yra Vyriausybės komisija, kurios tikslas – atlikti šiame įstatyme jai nustatytas ir Vyriausybės jai pavestas užduotis, susijusias su administracinės naštos įvertinimu bei jos mažinimo priemonių taikymu valstybės ir savivaldybių</w:t>
      </w:r>
      <w:r>
        <w:rPr>
          <w:color w:val="000000"/>
          <w:szCs w:val="24"/>
          <w:lang w:eastAsia="lt-LT"/>
        </w:rPr>
        <w:t xml:space="preserve"> institucijose ir įstaigose.</w:t>
      </w:r>
    </w:p>
    <w:p w:rsidR="000A165E" w:rsidRDefault="00E6590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2. Komisija sudaroma Lietuvos Respublikos Vyriausybės įstatymo nustatyta tvarka. Komisijos darbo organizavimo tvarką nustato Vyriausybės darbo reglamentas. Komisijos pirmininkui ir nariams už darbą Komisijoje darbo užmokestis </w:t>
      </w:r>
      <w:r>
        <w:rPr>
          <w:color w:val="000000"/>
          <w:szCs w:val="24"/>
          <w:lang w:eastAsia="lt-LT"/>
        </w:rPr>
        <w:t>nemokamas. Komisija už savo veiklą atsiskaito Vyriausybei, pateikdama metinę veiklos ataskaitą.</w:t>
      </w:r>
    </w:p>
    <w:p w:rsidR="000A165E" w:rsidRDefault="00E6590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 Komisija atlieka šias užduotis:</w:t>
      </w:r>
    </w:p>
    <w:p w:rsidR="000A165E" w:rsidRDefault="00E6590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1) vadovaudamasi šiame įstatyme numatytais administracinės naštos mažinimo principais, vertina teisės aktų projektus, kuriuos</w:t>
      </w:r>
      <w:r>
        <w:rPr>
          <w:color w:val="000000"/>
          <w:szCs w:val="24"/>
          <w:lang w:eastAsia="lt-LT"/>
        </w:rPr>
        <w:t>e numatomi nauji ar keičiami galiojantys informaciniai įpareigojimai asmenims, ir galiojančius teisės aktus, kuriuose nustatyti informaciniai įpareigojimai asmenims, ir teikia Vyriausybei dėl jų savo išvadas ir pasiūlymus;</w:t>
      </w:r>
    </w:p>
    <w:p w:rsidR="000A165E" w:rsidRDefault="00E6590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2) teikia Vyriausybei pasiūlymus </w:t>
      </w:r>
      <w:r>
        <w:rPr>
          <w:color w:val="000000"/>
          <w:szCs w:val="24"/>
          <w:lang w:eastAsia="lt-LT"/>
        </w:rPr>
        <w:t>dėl Administracinės naštos mažinimo priemonių plano rengimo;</w:t>
      </w:r>
    </w:p>
    <w:p w:rsidR="000A165E" w:rsidRDefault="00E6590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3) teikia Vyriausybei pasiūlymus dėl Vyriausybės patvirtintų administracinės naštos nustatymo ir vertinimo metodikų tobulinimo;</w:t>
      </w:r>
    </w:p>
    <w:p w:rsidR="000A165E" w:rsidRDefault="00E6590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4) įvertina, kaip įgyvendinamas Vyriausybės patvirtintas Administra</w:t>
      </w:r>
      <w:r>
        <w:rPr>
          <w:color w:val="000000"/>
          <w:szCs w:val="24"/>
          <w:lang w:eastAsia="lt-LT"/>
        </w:rPr>
        <w:t>cinės naštos mažinimo priemonių planas, ir teikia Vyriausybei dėl jo savo išvadas ir pasiūlymus;</w:t>
      </w:r>
    </w:p>
    <w:p w:rsidR="000A165E" w:rsidRDefault="00E65905">
      <w:pPr>
        <w:widowControl w:val="0"/>
        <w:ind w:firstLine="567"/>
        <w:jc w:val="both"/>
        <w:rPr>
          <w:b/>
          <w:bCs/>
          <w:color w:val="000000"/>
        </w:rPr>
      </w:pPr>
      <w:r>
        <w:rPr>
          <w:color w:val="000000"/>
          <w:szCs w:val="24"/>
          <w:lang w:eastAsia="lt-LT"/>
        </w:rPr>
        <w:t>5) teikia Vyriausybei ir jos nurodymu savivaldybių taryboms pasiūlymus dėl administracinės naštos įvertinimo ir (ar) mažinimo tam tikroje valdymo srityje ar dė</w:t>
      </w:r>
      <w:r>
        <w:rPr>
          <w:color w:val="000000"/>
          <w:szCs w:val="24"/>
          <w:lang w:eastAsia="lt-LT"/>
        </w:rPr>
        <w:t>l konkrečių administracinės naštos mažinimo priemonių taikymo.</w:t>
      </w:r>
      <w:r>
        <w:t xml:space="preserve"> </w:t>
      </w:r>
    </w:p>
    <w:p w:rsidR="000A165E" w:rsidRDefault="00E6590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Straipsnio pakeitimai:</w:t>
      </w:r>
    </w:p>
    <w:p w:rsidR="000A165E" w:rsidRDefault="00E6590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3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XII-580</w:t>
        </w:r>
      </w:hyperlink>
      <w:r>
        <w:rPr>
          <w:rFonts w:eastAsia="MS Mincho"/>
          <w:i/>
          <w:iCs/>
          <w:sz w:val="20"/>
        </w:rPr>
        <w:t>, 2013-11-07, Žin., 2013, Nr. 120-6052 (2013-11-23), i. k. 1131010ISTA0XII-5</w:t>
      </w:r>
      <w:r>
        <w:rPr>
          <w:rFonts w:eastAsia="MS Mincho"/>
          <w:i/>
          <w:iCs/>
          <w:sz w:val="20"/>
        </w:rPr>
        <w:t>80</w:t>
      </w:r>
    </w:p>
    <w:p w:rsidR="000A165E" w:rsidRDefault="000A165E"/>
    <w:p w:rsidR="000A165E" w:rsidRDefault="00E65905">
      <w:pPr>
        <w:widowControl w:val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9 straipsnis. Pasiūlymai Vyriausybei ar jos įgaliotai institucijai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Vyriausybė ar jos įgaliota institucija priima šio įstatymo įgyvendinamuosius teisės aktus.</w:t>
      </w:r>
    </w:p>
    <w:p w:rsidR="000A165E" w:rsidRDefault="000A165E">
      <w:pPr>
        <w:widowControl w:val="0"/>
        <w:ind w:firstLine="567"/>
        <w:jc w:val="both"/>
      </w:pPr>
    </w:p>
    <w:p w:rsidR="000A165E" w:rsidRDefault="00E65905">
      <w:pPr>
        <w:widowControl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 straipsnis. Įstatymo įsigaliojimas</w:t>
      </w:r>
    </w:p>
    <w:p w:rsidR="000A165E" w:rsidRDefault="00E65905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Šis įstatymas, išskyrus 9 straipsnį, įsigalioja 2013 m.</w:t>
      </w:r>
      <w:r>
        <w:rPr>
          <w:color w:val="000000"/>
        </w:rPr>
        <w:t xml:space="preserve"> liepos 1 d.</w:t>
      </w:r>
    </w:p>
    <w:p w:rsidR="000A165E" w:rsidRDefault="000A165E">
      <w:pPr>
        <w:widowControl w:val="0"/>
        <w:ind w:firstLine="567"/>
        <w:jc w:val="both"/>
        <w:rPr>
          <w:color w:val="000000"/>
        </w:rPr>
      </w:pPr>
    </w:p>
    <w:p w:rsidR="000A165E" w:rsidRDefault="00E65905">
      <w:pPr>
        <w:widowControl w:val="0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:rsidR="000A165E" w:rsidRDefault="000A165E">
      <w:pPr>
        <w:widowControl w:val="0"/>
        <w:ind w:firstLine="567"/>
        <w:jc w:val="both"/>
        <w:rPr>
          <w:color w:val="000000"/>
        </w:rPr>
      </w:pPr>
    </w:p>
    <w:p w:rsidR="000A165E" w:rsidRDefault="000A165E">
      <w:pPr>
        <w:widowControl w:val="0"/>
        <w:ind w:firstLine="567"/>
        <w:jc w:val="both"/>
        <w:rPr>
          <w:color w:val="000000"/>
        </w:rPr>
      </w:pPr>
    </w:p>
    <w:p w:rsidR="000A165E" w:rsidRDefault="000A165E">
      <w:pPr>
        <w:widowControl w:val="0"/>
        <w:ind w:firstLine="567"/>
        <w:jc w:val="both"/>
        <w:rPr>
          <w:color w:val="000000"/>
        </w:rPr>
      </w:pPr>
    </w:p>
    <w:p w:rsidR="000A165E" w:rsidRDefault="00E65905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 xml:space="preserve">RESPUBLIKOS PREZIDENTĖ </w:t>
      </w:r>
      <w:r>
        <w:rPr>
          <w:caps/>
          <w:color w:val="000000"/>
        </w:rPr>
        <w:tab/>
        <w:t>DALIA GRYBAUSKAITĖ</w:t>
      </w:r>
    </w:p>
    <w:p w:rsidR="000A165E" w:rsidRDefault="000A165E">
      <w:pPr>
        <w:widowControl w:val="0"/>
        <w:ind w:firstLine="567"/>
        <w:jc w:val="both"/>
        <w:rPr>
          <w:color w:val="000000"/>
        </w:rPr>
      </w:pPr>
    </w:p>
    <w:p w:rsidR="000A165E" w:rsidRDefault="000A165E">
      <w:pPr>
        <w:widowControl w:val="0"/>
        <w:ind w:firstLine="567"/>
        <w:jc w:val="both"/>
        <w:rPr>
          <w:color w:val="000000"/>
        </w:rPr>
      </w:pPr>
    </w:p>
    <w:p w:rsidR="000A165E" w:rsidRDefault="000A165E"/>
    <w:p w:rsidR="000A165E" w:rsidRDefault="000A165E">
      <w:pPr>
        <w:jc w:val="both"/>
        <w:rPr>
          <w:b/>
          <w:sz w:val="20"/>
        </w:rPr>
      </w:pPr>
    </w:p>
    <w:p w:rsidR="000A165E" w:rsidRDefault="000A165E">
      <w:pPr>
        <w:jc w:val="both"/>
        <w:rPr>
          <w:b/>
          <w:sz w:val="20"/>
        </w:rPr>
      </w:pPr>
    </w:p>
    <w:p w:rsidR="000A165E" w:rsidRDefault="00E65905">
      <w:pPr>
        <w:jc w:val="both"/>
        <w:rPr>
          <w:b/>
        </w:rPr>
      </w:pPr>
      <w:r>
        <w:rPr>
          <w:b/>
          <w:sz w:val="20"/>
        </w:rPr>
        <w:t>Pakeitimai:</w:t>
      </w:r>
    </w:p>
    <w:p w:rsidR="000A165E" w:rsidRDefault="000A165E">
      <w:pPr>
        <w:jc w:val="both"/>
        <w:rPr>
          <w:sz w:val="20"/>
        </w:rPr>
      </w:pPr>
    </w:p>
    <w:p w:rsidR="000A165E" w:rsidRDefault="00E65905">
      <w:pPr>
        <w:jc w:val="both"/>
      </w:pPr>
      <w:r>
        <w:rPr>
          <w:sz w:val="20"/>
        </w:rPr>
        <w:t>1.</w:t>
      </w:r>
    </w:p>
    <w:p w:rsidR="000A165E" w:rsidRDefault="00E65905">
      <w:pPr>
        <w:jc w:val="both"/>
      </w:pPr>
      <w:r>
        <w:rPr>
          <w:sz w:val="20"/>
        </w:rPr>
        <w:t>Lietuvos Respublikos Seimas, Įstatymas</w:t>
      </w:r>
    </w:p>
    <w:p w:rsidR="000A165E" w:rsidRDefault="00E65905">
      <w:pPr>
        <w:jc w:val="both"/>
      </w:pPr>
      <w:r>
        <w:rPr>
          <w:sz w:val="20"/>
        </w:rPr>
        <w:t xml:space="preserve">Nr. </w:t>
      </w:r>
      <w:hyperlink r:id="rId14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XII-162</w:t>
        </w:r>
      </w:hyperlink>
      <w:r>
        <w:rPr>
          <w:rFonts w:eastAsia="MS Mincho"/>
          <w:iCs/>
          <w:sz w:val="20"/>
        </w:rPr>
        <w:t>, 2013-01-17, Žin., 2013, Nr. 11-506 (2013-01-30), i. k. 1131010ISTA0XII-162</w:t>
      </w:r>
    </w:p>
    <w:p w:rsidR="000A165E" w:rsidRDefault="00E65905">
      <w:pPr>
        <w:jc w:val="both"/>
      </w:pPr>
      <w:r>
        <w:rPr>
          <w:sz w:val="20"/>
        </w:rPr>
        <w:t>Lietuvos Respublikos administracinės naštos mažinimo įstatymo 8 straipsnio pakeitimo įstatym</w:t>
      </w:r>
      <w:r>
        <w:rPr>
          <w:sz w:val="20"/>
        </w:rPr>
        <w:t>as</w:t>
      </w:r>
    </w:p>
    <w:p w:rsidR="000A165E" w:rsidRDefault="000A165E">
      <w:pPr>
        <w:jc w:val="both"/>
        <w:rPr>
          <w:sz w:val="20"/>
        </w:rPr>
      </w:pPr>
    </w:p>
    <w:p w:rsidR="000A165E" w:rsidRDefault="00E65905">
      <w:pPr>
        <w:jc w:val="both"/>
      </w:pPr>
      <w:r>
        <w:rPr>
          <w:sz w:val="20"/>
        </w:rPr>
        <w:t>2.</w:t>
      </w:r>
    </w:p>
    <w:p w:rsidR="000A165E" w:rsidRDefault="00E65905">
      <w:pPr>
        <w:jc w:val="both"/>
      </w:pPr>
      <w:r>
        <w:rPr>
          <w:sz w:val="20"/>
        </w:rPr>
        <w:t>Lietuvos Respublikos Seimas, Įstatymas</w:t>
      </w:r>
    </w:p>
    <w:p w:rsidR="000A165E" w:rsidRDefault="00E65905">
      <w:pPr>
        <w:jc w:val="both"/>
      </w:pPr>
      <w:r>
        <w:rPr>
          <w:sz w:val="20"/>
        </w:rPr>
        <w:t xml:space="preserve">Nr. </w:t>
      </w:r>
      <w:hyperlink r:id="rId15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XII-580</w:t>
        </w:r>
      </w:hyperlink>
      <w:r>
        <w:rPr>
          <w:rFonts w:eastAsia="MS Mincho"/>
          <w:iCs/>
          <w:sz w:val="20"/>
        </w:rPr>
        <w:t>, 2013-11-07, Žin., 2013, Nr. 120-6052 (2013-11-23), i. k. 1131010ISTA0XII-580</w:t>
      </w:r>
    </w:p>
    <w:p w:rsidR="000A165E" w:rsidRDefault="00E65905">
      <w:pPr>
        <w:jc w:val="both"/>
      </w:pPr>
      <w:r>
        <w:rPr>
          <w:sz w:val="20"/>
        </w:rPr>
        <w:t>Lietuvos Respublikos administracinės n</w:t>
      </w:r>
      <w:r>
        <w:rPr>
          <w:sz w:val="20"/>
        </w:rPr>
        <w:t>aštos mažinimo įstatymo 5, 6, 7 ir 8 straipsnių pakeitimo įstatymas</w:t>
      </w:r>
    </w:p>
    <w:p w:rsidR="000A165E" w:rsidRDefault="000A165E">
      <w:pPr>
        <w:jc w:val="both"/>
        <w:rPr>
          <w:sz w:val="20"/>
        </w:rPr>
      </w:pPr>
    </w:p>
    <w:p w:rsidR="000A165E" w:rsidRDefault="000A165E">
      <w:pPr>
        <w:widowControl w:val="0"/>
        <w:rPr>
          <w:snapToGrid w:val="0"/>
        </w:rPr>
      </w:pPr>
    </w:p>
    <w:sectPr w:rsidR="000A16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851" w:bottom="1134" w:left="1701" w:header="709" w:footer="709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5E" w:rsidRDefault="00E65905">
      <w:r>
        <w:separator/>
      </w:r>
    </w:p>
  </w:endnote>
  <w:endnote w:type="continuationSeparator" w:id="0">
    <w:p w:rsidR="000A165E" w:rsidRDefault="00E6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5E" w:rsidRDefault="000A165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5E" w:rsidRDefault="000A165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5E" w:rsidRDefault="000A165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5E" w:rsidRDefault="00E65905">
      <w:r>
        <w:separator/>
      </w:r>
    </w:p>
  </w:footnote>
  <w:footnote w:type="continuationSeparator" w:id="0">
    <w:p w:rsidR="000A165E" w:rsidRDefault="00E6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5E" w:rsidRDefault="000A165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5E" w:rsidRDefault="00E6590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670B1">
      <w:rPr>
        <w:noProof/>
      </w:rPr>
      <w:t>4</w:t>
    </w:r>
    <w:r>
      <w:fldChar w:fldCharType="end"/>
    </w:r>
  </w:p>
  <w:p w:rsidR="000A165E" w:rsidRDefault="000A165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5E" w:rsidRDefault="000A165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72"/>
    <w:rsid w:val="000A165E"/>
    <w:rsid w:val="00AD3E72"/>
    <w:rsid w:val="00C670B1"/>
    <w:rsid w:val="00E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e-tar.lt/portal/legalAct.html?documentId=TAR.F1EF7F13180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e-tar.lt/portal/legalAct.html?documentId=TAR.DE127819AE22" TargetMode="External"/><Relationship Id="rId12" Type="http://schemas.openxmlformats.org/officeDocument/2006/relationships/hyperlink" Target="https://www.e-tar.lt/portal/legalAct.html?documentId=TAR.F1EF7F13180F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-tar.lt/portal/legalAct.html?documentId=TAR.F1EF7F13180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-tar.lt/portal/legalAct.html?documentId=TAR.F1EF7F13180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-tar.lt/portal/legalAct.html?documentId=TAR.F1EF7F13180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-tar.lt/portal/legalAct.html?documentId=TAR.C551D2A319B7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6875</Words>
  <Characters>3920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ADMINISTRACINĖS NAŠTOS MAŽINIMO ĮSTATYMAS</vt:lpstr>
    </vt:vector>
  </TitlesOfParts>
  <Company/>
  <LinksUpToDate>false</LinksUpToDate>
  <CharactersWithSpaces>10774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ADMINISTRACINĖS NAŠTOS MAŽINIMO ĮSTATYMAS</dc:title>
  <dc:creator>Rima</dc:creator>
  <cp:lastModifiedBy>Vartotojas</cp:lastModifiedBy>
  <cp:revision>3</cp:revision>
  <dcterms:created xsi:type="dcterms:W3CDTF">2020-12-14T13:17:00Z</dcterms:created>
  <dcterms:modified xsi:type="dcterms:W3CDTF">2020-12-14T13:17:00Z</dcterms:modified>
</cp:coreProperties>
</file>