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8225" w14:textId="77777777" w:rsidR="0092284C" w:rsidRDefault="00465858">
      <w:pPr>
        <w:jc w:val="both"/>
      </w:pPr>
      <w:r>
        <w:rPr>
          <w:b/>
          <w:i/>
        </w:rPr>
        <w:t>Suvestinė redakcija nuo 2022-09-01</w:t>
      </w:r>
    </w:p>
    <w:p w14:paraId="1F0CAA99" w14:textId="77777777" w:rsidR="0092284C" w:rsidRDefault="0092284C">
      <w:pPr>
        <w:jc w:val="both"/>
        <w:rPr>
          <w:sz w:val="20"/>
        </w:rPr>
      </w:pPr>
    </w:p>
    <w:p w14:paraId="43F96B4D" w14:textId="77777777" w:rsidR="0092284C" w:rsidRDefault="00465858">
      <w:pPr>
        <w:jc w:val="both"/>
        <w:rPr>
          <w:sz w:val="20"/>
        </w:rPr>
      </w:pPr>
      <w:r>
        <w:rPr>
          <w:i/>
          <w:sz w:val="20"/>
        </w:rPr>
        <w:t>Sprendimas paskelbtas: TAR 2019-10-16, i. k. 2019-16440</w:t>
      </w:r>
    </w:p>
    <w:p w14:paraId="529639E5" w14:textId="77777777" w:rsidR="0092284C" w:rsidRDefault="0092284C">
      <w:pPr>
        <w:jc w:val="both"/>
        <w:rPr>
          <w:sz w:val="20"/>
        </w:rPr>
      </w:pPr>
    </w:p>
    <w:p w14:paraId="6837E69F" w14:textId="77777777" w:rsidR="0092284C" w:rsidRDefault="00465858">
      <w:pPr>
        <w:suppressAutoHyphens/>
        <w:jc w:val="center"/>
        <w:rPr>
          <w:szCs w:val="24"/>
          <w:lang w:eastAsia="zh-CN"/>
        </w:rPr>
      </w:pPr>
      <w:r>
        <w:rPr>
          <w:noProof/>
          <w:szCs w:val="24"/>
          <w:lang w:eastAsia="lt-LT"/>
        </w:rPr>
        <w:drawing>
          <wp:inline distT="0" distB="0" distL="0" distR="0" wp14:anchorId="1113E2E8" wp14:editId="42F48D30">
            <wp:extent cx="621665" cy="658495"/>
            <wp:effectExtent l="0" t="0" r="6985" b="825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658495"/>
                    </a:xfrm>
                    <a:prstGeom prst="rect">
                      <a:avLst/>
                    </a:prstGeom>
                    <a:noFill/>
                  </pic:spPr>
                </pic:pic>
              </a:graphicData>
            </a:graphic>
          </wp:inline>
        </w:drawing>
      </w:r>
    </w:p>
    <w:p w14:paraId="43975933" w14:textId="77777777" w:rsidR="0092284C" w:rsidRDefault="0092284C">
      <w:pPr>
        <w:suppressAutoHyphens/>
        <w:snapToGrid w:val="0"/>
        <w:jc w:val="center"/>
        <w:rPr>
          <w:sz w:val="16"/>
          <w:szCs w:val="16"/>
          <w:lang w:eastAsia="zh-CN"/>
        </w:rPr>
      </w:pPr>
    </w:p>
    <w:p w14:paraId="2045C189" w14:textId="77777777" w:rsidR="0092284C" w:rsidRDefault="00465858">
      <w:pPr>
        <w:tabs>
          <w:tab w:val="left" w:pos="9746"/>
        </w:tabs>
        <w:suppressAutoHyphens/>
        <w:snapToGrid w:val="0"/>
        <w:jc w:val="center"/>
        <w:rPr>
          <w:b/>
          <w:bCs/>
          <w:szCs w:val="24"/>
          <w:lang w:eastAsia="zh-CN"/>
        </w:rPr>
      </w:pPr>
      <w:r>
        <w:rPr>
          <w:b/>
          <w:bCs/>
          <w:szCs w:val="24"/>
          <w:lang w:eastAsia="zh-CN"/>
        </w:rPr>
        <w:t>BIRŽŲ RAJONO SAVIVALDYBĖS TARYBA</w:t>
      </w:r>
    </w:p>
    <w:p w14:paraId="2F1E6D9A" w14:textId="77777777" w:rsidR="0092284C" w:rsidRDefault="0092284C">
      <w:pPr>
        <w:tabs>
          <w:tab w:val="left" w:pos="9746"/>
        </w:tabs>
        <w:suppressAutoHyphens/>
        <w:snapToGrid w:val="0"/>
        <w:jc w:val="center"/>
        <w:rPr>
          <w:szCs w:val="24"/>
          <w:lang w:eastAsia="zh-CN"/>
        </w:rPr>
      </w:pPr>
    </w:p>
    <w:p w14:paraId="3D5F75B4" w14:textId="77777777" w:rsidR="0092284C" w:rsidRDefault="00465858">
      <w:pPr>
        <w:tabs>
          <w:tab w:val="left" w:pos="9746"/>
        </w:tabs>
        <w:suppressAutoHyphens/>
        <w:snapToGrid w:val="0"/>
        <w:jc w:val="center"/>
        <w:rPr>
          <w:szCs w:val="24"/>
          <w:lang w:eastAsia="zh-CN"/>
        </w:rPr>
      </w:pPr>
      <w:r>
        <w:rPr>
          <w:b/>
          <w:bCs/>
          <w:szCs w:val="24"/>
          <w:lang w:eastAsia="zh-CN"/>
        </w:rPr>
        <w:t>SPRENDIMAS</w:t>
      </w:r>
    </w:p>
    <w:p w14:paraId="12333C2E" w14:textId="77777777" w:rsidR="0092284C" w:rsidRDefault="00465858">
      <w:pPr>
        <w:tabs>
          <w:tab w:val="left" w:pos="9746"/>
        </w:tabs>
        <w:suppressAutoHyphens/>
        <w:snapToGrid w:val="0"/>
        <w:jc w:val="center"/>
        <w:rPr>
          <w:szCs w:val="24"/>
          <w:lang w:eastAsia="zh-CN"/>
        </w:rPr>
      </w:pPr>
      <w:r>
        <w:rPr>
          <w:b/>
          <w:bCs/>
          <w:szCs w:val="24"/>
          <w:lang w:eastAsia="zh-CN"/>
        </w:rPr>
        <w:t xml:space="preserve">DĖL ATLYGINIMO DYDŽIO UŽ VAIKŲ, UGDOMŲ PAGAL IKIMOKYKLINIO IR </w:t>
      </w:r>
      <w:r>
        <w:rPr>
          <w:rFonts w:eastAsia="Arial Unicode MS"/>
          <w:b/>
          <w:bCs/>
          <w:kern w:val="1"/>
          <w:szCs w:val="24"/>
          <w:lang w:eastAsia="zh-CN"/>
        </w:rPr>
        <w:t>(AR) PRIEŠMOKYKLINIO UGDYMO PROGRAMAS, IŠLAIKYMĄ SAVIVALDYBĖS ŠVIETIMO ĮSTAIGOSE</w:t>
      </w:r>
      <w:r>
        <w:rPr>
          <w:b/>
          <w:bCs/>
          <w:szCs w:val="24"/>
          <w:lang w:eastAsia="zh-CN"/>
        </w:rPr>
        <w:t xml:space="preserve"> NUSTATYMO TVARKOS APRAŠO PATVIRTINIMO</w:t>
      </w:r>
    </w:p>
    <w:p w14:paraId="5298769E" w14:textId="77777777" w:rsidR="0092284C" w:rsidRDefault="0092284C">
      <w:pPr>
        <w:tabs>
          <w:tab w:val="left" w:pos="9746"/>
        </w:tabs>
        <w:suppressAutoHyphens/>
        <w:snapToGrid w:val="0"/>
        <w:ind w:left="-108"/>
        <w:jc w:val="center"/>
        <w:rPr>
          <w:szCs w:val="24"/>
          <w:lang w:eastAsia="zh-CN"/>
        </w:rPr>
      </w:pPr>
    </w:p>
    <w:p w14:paraId="3E0B774C" w14:textId="77777777" w:rsidR="0092284C" w:rsidRDefault="00465858">
      <w:pPr>
        <w:keepNext/>
        <w:tabs>
          <w:tab w:val="left" w:pos="9854"/>
        </w:tabs>
        <w:suppressAutoHyphens/>
        <w:overflowPunct w:val="0"/>
        <w:snapToGrid w:val="0"/>
        <w:jc w:val="center"/>
        <w:outlineLvl w:val="3"/>
        <w:rPr>
          <w:bCs/>
          <w:szCs w:val="24"/>
          <w:lang w:eastAsia="zh-CN"/>
        </w:rPr>
      </w:pPr>
      <w:r>
        <w:rPr>
          <w:bCs/>
          <w:szCs w:val="24"/>
          <w:lang w:eastAsia="zh-CN"/>
        </w:rPr>
        <w:t>2019 m. rugsėjo 26 d. Nr. T-193</w:t>
      </w:r>
    </w:p>
    <w:p w14:paraId="58EC67AA" w14:textId="77777777" w:rsidR="0092284C" w:rsidRDefault="00465858">
      <w:pPr>
        <w:tabs>
          <w:tab w:val="left" w:pos="9746"/>
        </w:tabs>
        <w:suppressAutoHyphens/>
        <w:snapToGrid w:val="0"/>
        <w:jc w:val="center"/>
        <w:rPr>
          <w:szCs w:val="24"/>
          <w:lang w:eastAsia="zh-CN"/>
        </w:rPr>
      </w:pPr>
      <w:r>
        <w:rPr>
          <w:bCs/>
          <w:szCs w:val="24"/>
          <w:lang w:eastAsia="zh-CN"/>
        </w:rPr>
        <w:t>Biržai</w:t>
      </w:r>
    </w:p>
    <w:p w14:paraId="0051C26C" w14:textId="77777777" w:rsidR="0092284C" w:rsidRDefault="0092284C">
      <w:pPr>
        <w:suppressAutoHyphens/>
        <w:jc w:val="both"/>
        <w:rPr>
          <w:szCs w:val="24"/>
          <w:lang w:eastAsia="zh-CN"/>
        </w:rPr>
      </w:pPr>
    </w:p>
    <w:p w14:paraId="5B9C5EA8" w14:textId="77777777" w:rsidR="0092284C" w:rsidRDefault="0092284C">
      <w:pPr>
        <w:suppressAutoHyphens/>
        <w:jc w:val="both"/>
        <w:rPr>
          <w:szCs w:val="24"/>
          <w:lang w:eastAsia="zh-CN"/>
        </w:rPr>
      </w:pPr>
    </w:p>
    <w:p w14:paraId="18E8406E" w14:textId="77777777" w:rsidR="0092284C" w:rsidRDefault="00465858">
      <w:pPr>
        <w:widowControl w:val="0"/>
        <w:tabs>
          <w:tab w:val="left" w:pos="709"/>
          <w:tab w:val="left" w:pos="1134"/>
        </w:tabs>
        <w:suppressAutoHyphens/>
        <w:ind w:right="-82" w:firstLine="709"/>
        <w:jc w:val="both"/>
        <w:rPr>
          <w:szCs w:val="24"/>
          <w:lang w:eastAsia="zh-CN"/>
        </w:rPr>
      </w:pPr>
      <w:r>
        <w:rPr>
          <w:szCs w:val="24"/>
          <w:lang w:eastAsia="zh-CN"/>
        </w:rPr>
        <w:t>Vadovaudamasi Lietuvos Respublikos vietos savivaldos įstatymo 18 straipsnio 1 dalimi, 6 straipsnio 10 punktu, 7 straipsnio 7 punktu, 16 straipsnio 4 dalimi, Lietuvos Respublikos švietimo įstatymo 36 straipsnio 7 ir 9 dalimis, 70 straipsnio 11 dalimi, Biržų rajono savivaldybės taryba n u s p r e n d ž i a:</w:t>
      </w:r>
      <w:r>
        <w:rPr>
          <w:szCs w:val="24"/>
          <w:lang w:eastAsia="zh-CN"/>
        </w:rPr>
        <w:tab/>
      </w:r>
    </w:p>
    <w:p w14:paraId="20FC8551" w14:textId="77777777" w:rsidR="0092284C" w:rsidRDefault="00465858">
      <w:pPr>
        <w:widowControl w:val="0"/>
        <w:tabs>
          <w:tab w:val="left" w:pos="709"/>
          <w:tab w:val="left" w:pos="1134"/>
        </w:tabs>
        <w:suppressAutoHyphens/>
        <w:ind w:right="-82" w:firstLine="709"/>
        <w:jc w:val="both"/>
        <w:rPr>
          <w:szCs w:val="24"/>
          <w:lang w:eastAsia="zh-CN"/>
        </w:rPr>
      </w:pPr>
      <w:r>
        <w:rPr>
          <w:rFonts w:eastAsia="Calibri"/>
          <w:szCs w:val="24"/>
          <w:lang w:eastAsia="zh-CN"/>
        </w:rPr>
        <w:t xml:space="preserve">1. Patvirtinti </w:t>
      </w:r>
      <w:r>
        <w:rPr>
          <w:rFonts w:eastAsia="Arial Unicode MS"/>
          <w:kern w:val="1"/>
          <w:szCs w:val="24"/>
          <w:lang w:eastAsia="zh-CN"/>
        </w:rPr>
        <w:t xml:space="preserve">Atlyginimo dydžio už vaikų, ugdomų pagal ikimokyklinio ir (ar) priešmokyklinio ugdymo programas, išlaikymą Savivaldybės švietimo įstaigose nustatymo tvarkos </w:t>
      </w:r>
      <w:r>
        <w:rPr>
          <w:rFonts w:eastAsia="Calibri"/>
          <w:bCs/>
          <w:szCs w:val="24"/>
          <w:lang w:eastAsia="zh-CN" w:bidi="lt-LT"/>
        </w:rPr>
        <w:t xml:space="preserve">aprašą </w:t>
      </w:r>
      <w:r>
        <w:rPr>
          <w:rFonts w:eastAsia="Calibri"/>
          <w:szCs w:val="24"/>
          <w:lang w:eastAsia="zh-CN"/>
        </w:rPr>
        <w:t>(pridedama).</w:t>
      </w:r>
      <w:r>
        <w:rPr>
          <w:rFonts w:eastAsia="Calibri"/>
          <w:bCs/>
          <w:szCs w:val="24"/>
          <w:lang w:eastAsia="zh-CN"/>
        </w:rPr>
        <w:t xml:space="preserve"> </w:t>
      </w:r>
    </w:p>
    <w:p w14:paraId="12934799" w14:textId="77777777" w:rsidR="0092284C" w:rsidRDefault="00465858">
      <w:pPr>
        <w:widowControl w:val="0"/>
        <w:tabs>
          <w:tab w:val="left" w:pos="709"/>
          <w:tab w:val="left" w:pos="1134"/>
        </w:tabs>
        <w:suppressAutoHyphens/>
        <w:ind w:right="-82" w:firstLine="709"/>
        <w:jc w:val="both"/>
        <w:rPr>
          <w:szCs w:val="24"/>
          <w:lang w:eastAsia="zh-CN"/>
        </w:rPr>
      </w:pPr>
      <w:r>
        <w:rPr>
          <w:rFonts w:eastAsia="Calibri"/>
          <w:bCs/>
          <w:szCs w:val="24"/>
          <w:lang w:eastAsia="lt-LT"/>
        </w:rPr>
        <w:t>2. Pripažinti netekusiu galios Atlyginimo dydžio</w:t>
      </w:r>
      <w:r>
        <w:rPr>
          <w:rFonts w:eastAsia="Calibri"/>
          <w:szCs w:val="24"/>
          <w:lang w:eastAsia="zh-CN"/>
        </w:rPr>
        <w:t xml:space="preserve"> už vaikų, ugdomų pagal  ikimokyklinio ir (ar) priešmokyklinio ugdymo programas, išlaikymą Savivaldybės švietimo įstaigose nustatymo tvarkos aprašą, patvirtintą</w:t>
      </w:r>
      <w:r>
        <w:rPr>
          <w:rFonts w:eastAsia="Calibri"/>
          <w:bCs/>
          <w:szCs w:val="24"/>
          <w:lang w:eastAsia="lt-LT"/>
        </w:rPr>
        <w:t xml:space="preserve"> Biržų</w:t>
      </w:r>
      <w:r>
        <w:rPr>
          <w:rFonts w:eastAsia="Calibri"/>
          <w:bCs/>
          <w:szCs w:val="24"/>
          <w:lang w:eastAsia="zh-CN"/>
        </w:rPr>
        <w:t xml:space="preserve"> rajono savivaldybės tarybos 2013 m. rugsėjo 26 d. sprendimu Nr. T-233 „Dėl </w:t>
      </w:r>
      <w:r>
        <w:rPr>
          <w:rFonts w:eastAsia="Calibri"/>
          <w:bCs/>
          <w:szCs w:val="24"/>
          <w:lang w:eastAsia="lt-LT"/>
        </w:rPr>
        <w:t>Atlyginimo dydžio</w:t>
      </w:r>
      <w:r>
        <w:rPr>
          <w:rFonts w:eastAsia="Calibri"/>
          <w:szCs w:val="24"/>
          <w:lang w:eastAsia="zh-CN"/>
        </w:rPr>
        <w:t xml:space="preserve"> už vaikų, ugdomų pagal  ikimokyklinio ir (ar) priešmokyklinio ugdymo programas, išlaikymą Savivaldybės švietimo įstaigose nustatymo tvarkos aprašo patvirtinimo“</w:t>
      </w:r>
      <w:r>
        <w:rPr>
          <w:rFonts w:eastAsia="Calibri"/>
          <w:bCs/>
          <w:szCs w:val="24"/>
          <w:lang w:eastAsia="zh-CN"/>
        </w:rPr>
        <w:t xml:space="preserve"> (</w:t>
      </w:r>
      <w:r>
        <w:rPr>
          <w:rFonts w:eastAsia="Calibri"/>
          <w:szCs w:val="24"/>
          <w:lang w:eastAsia="zh-CN"/>
        </w:rPr>
        <w:t>su visais pakeitimais ir papildymais</w:t>
      </w:r>
      <w:r>
        <w:rPr>
          <w:rFonts w:eastAsia="Calibri"/>
          <w:bCs/>
          <w:szCs w:val="24"/>
          <w:lang w:eastAsia="zh-CN"/>
        </w:rPr>
        <w:t>).</w:t>
      </w:r>
    </w:p>
    <w:p w14:paraId="372E83E3" w14:textId="77777777" w:rsidR="0092284C" w:rsidRDefault="00465858">
      <w:pPr>
        <w:suppressAutoHyphens/>
        <w:ind w:firstLine="720"/>
        <w:jc w:val="both"/>
        <w:rPr>
          <w:szCs w:val="24"/>
          <w:lang w:eastAsia="zh-CN"/>
        </w:rPr>
      </w:pPr>
      <w:r>
        <w:rPr>
          <w:rFonts w:eastAsia="Calibri"/>
          <w:szCs w:val="24"/>
          <w:lang w:eastAsia="zh-CN"/>
        </w:rPr>
        <w:t xml:space="preserve">3. </w:t>
      </w:r>
      <w:r>
        <w:rPr>
          <w:spacing w:val="-4"/>
          <w:szCs w:val="24"/>
          <w:lang w:eastAsia="zh-CN"/>
        </w:rPr>
        <w:t>Nustatyti, kad šis sprendimas įsigalioja 2019 m. spalio l d.</w:t>
      </w:r>
    </w:p>
    <w:p w14:paraId="0E866400" w14:textId="77777777" w:rsidR="0092284C" w:rsidRDefault="0092284C">
      <w:pPr>
        <w:suppressAutoHyphens/>
        <w:jc w:val="both"/>
        <w:rPr>
          <w:szCs w:val="24"/>
        </w:rPr>
      </w:pPr>
    </w:p>
    <w:p w14:paraId="54B700E2" w14:textId="77777777" w:rsidR="0092284C" w:rsidRDefault="0092284C">
      <w:pPr>
        <w:suppressAutoHyphens/>
        <w:jc w:val="both"/>
        <w:rPr>
          <w:szCs w:val="24"/>
        </w:rPr>
      </w:pPr>
    </w:p>
    <w:p w14:paraId="0BA9B060" w14:textId="77777777" w:rsidR="0092284C" w:rsidRDefault="0092284C">
      <w:pPr>
        <w:suppressAutoHyphens/>
        <w:jc w:val="both"/>
        <w:rPr>
          <w:szCs w:val="24"/>
        </w:rPr>
      </w:pPr>
    </w:p>
    <w:p w14:paraId="07E0174A" w14:textId="77777777" w:rsidR="0092284C" w:rsidRDefault="00465858">
      <w:pPr>
        <w:suppressAutoHyphens/>
        <w:jc w:val="both"/>
        <w:rPr>
          <w:szCs w:val="24"/>
          <w:lang w:eastAsia="zh-CN"/>
        </w:rPr>
      </w:pPr>
      <w:r>
        <w:rPr>
          <w:szCs w:val="24"/>
          <w:lang w:eastAsia="zh-CN"/>
        </w:rPr>
        <w:t>Savivaldybės meras</w:t>
      </w:r>
      <w:r>
        <w:rPr>
          <w:szCs w:val="24"/>
          <w:lang w:eastAsia="zh-CN"/>
        </w:rPr>
        <w:tab/>
      </w:r>
      <w:r>
        <w:rPr>
          <w:szCs w:val="24"/>
          <w:lang w:eastAsia="zh-CN"/>
        </w:rPr>
        <w:tab/>
      </w:r>
      <w:r>
        <w:rPr>
          <w:szCs w:val="24"/>
          <w:lang w:eastAsia="zh-CN"/>
        </w:rPr>
        <w:tab/>
      </w:r>
      <w:r>
        <w:rPr>
          <w:szCs w:val="24"/>
          <w:lang w:eastAsia="zh-CN"/>
        </w:rPr>
        <w:tab/>
      </w:r>
      <w:r>
        <w:rPr>
          <w:szCs w:val="24"/>
          <w:lang w:eastAsia="zh-CN"/>
        </w:rPr>
        <w:tab/>
        <w:t xml:space="preserve">    Vytas </w:t>
      </w:r>
      <w:proofErr w:type="spellStart"/>
      <w:r>
        <w:rPr>
          <w:szCs w:val="24"/>
          <w:lang w:eastAsia="zh-CN"/>
        </w:rPr>
        <w:t>Jareckas</w:t>
      </w:r>
      <w:proofErr w:type="spellEnd"/>
    </w:p>
    <w:p w14:paraId="3AEA1F24" w14:textId="77777777" w:rsidR="0092284C" w:rsidRDefault="0092284C">
      <w:pPr>
        <w:tabs>
          <w:tab w:val="left" w:pos="720"/>
          <w:tab w:val="left" w:pos="3179"/>
        </w:tabs>
        <w:suppressAutoHyphens/>
        <w:ind w:firstLine="5103"/>
        <w:jc w:val="both"/>
        <w:rPr>
          <w:szCs w:val="24"/>
        </w:rPr>
        <w:sectPr w:rsidR="0092284C">
          <w:headerReference w:type="default" r:id="rId7"/>
          <w:footerReference w:type="default" r:id="rId8"/>
          <w:headerReference w:type="first" r:id="rId9"/>
          <w:footerReference w:type="first" r:id="rId10"/>
          <w:pgSz w:w="11906" w:h="16838"/>
          <w:pgMar w:top="1134" w:right="567" w:bottom="1134" w:left="1701" w:header="567" w:footer="567" w:gutter="0"/>
          <w:pgNumType w:start="1"/>
          <w:cols w:space="1296"/>
          <w:titlePg/>
          <w:docGrid w:linePitch="326"/>
        </w:sectPr>
      </w:pPr>
    </w:p>
    <w:p w14:paraId="42B976D4" w14:textId="77777777" w:rsidR="0092284C" w:rsidRDefault="00465858">
      <w:pPr>
        <w:tabs>
          <w:tab w:val="left" w:pos="720"/>
          <w:tab w:val="left" w:pos="3179"/>
        </w:tabs>
        <w:suppressAutoHyphens/>
        <w:ind w:firstLine="5670"/>
        <w:jc w:val="both"/>
        <w:rPr>
          <w:szCs w:val="24"/>
          <w:lang w:eastAsia="zh-CN"/>
        </w:rPr>
      </w:pPr>
      <w:r>
        <w:rPr>
          <w:szCs w:val="24"/>
          <w:lang w:eastAsia="zh-CN"/>
        </w:rPr>
        <w:lastRenderedPageBreak/>
        <w:t>PATVIRTINTA</w:t>
      </w:r>
    </w:p>
    <w:p w14:paraId="6010792E" w14:textId="77777777" w:rsidR="0092284C" w:rsidRDefault="00465858">
      <w:pPr>
        <w:suppressAutoHyphens/>
        <w:ind w:firstLine="5670"/>
        <w:jc w:val="both"/>
        <w:rPr>
          <w:szCs w:val="24"/>
          <w:lang w:eastAsia="zh-CN"/>
        </w:rPr>
      </w:pPr>
      <w:r>
        <w:rPr>
          <w:szCs w:val="24"/>
          <w:lang w:eastAsia="zh-CN"/>
        </w:rPr>
        <w:t>Biržų rajono savivaldybės tarybos</w:t>
      </w:r>
    </w:p>
    <w:p w14:paraId="7305D591" w14:textId="77777777" w:rsidR="0092284C" w:rsidRDefault="00465858">
      <w:pPr>
        <w:suppressAutoHyphens/>
        <w:ind w:firstLine="5670"/>
        <w:jc w:val="both"/>
        <w:rPr>
          <w:szCs w:val="24"/>
          <w:lang w:eastAsia="zh-CN"/>
        </w:rPr>
      </w:pPr>
      <w:r>
        <w:rPr>
          <w:szCs w:val="24"/>
          <w:lang w:eastAsia="zh-CN"/>
        </w:rPr>
        <w:t>2019 m. rugsėjo 26 d.</w:t>
      </w:r>
    </w:p>
    <w:p w14:paraId="41DEFF2E" w14:textId="77777777" w:rsidR="0092284C" w:rsidRDefault="00465858">
      <w:pPr>
        <w:suppressAutoHyphens/>
        <w:ind w:firstLine="5670"/>
        <w:jc w:val="both"/>
        <w:rPr>
          <w:szCs w:val="24"/>
          <w:lang w:eastAsia="zh-CN"/>
        </w:rPr>
      </w:pPr>
      <w:r>
        <w:rPr>
          <w:szCs w:val="24"/>
          <w:lang w:eastAsia="zh-CN"/>
        </w:rPr>
        <w:t>sprendimu Nr. T-193</w:t>
      </w:r>
    </w:p>
    <w:p w14:paraId="22F069F2" w14:textId="77777777" w:rsidR="0092284C" w:rsidRDefault="0092284C">
      <w:pPr>
        <w:suppressAutoHyphens/>
        <w:jc w:val="both"/>
        <w:rPr>
          <w:szCs w:val="24"/>
          <w:lang w:eastAsia="zh-CN"/>
        </w:rPr>
      </w:pPr>
    </w:p>
    <w:p w14:paraId="7C1D2168" w14:textId="77777777" w:rsidR="0092284C" w:rsidRDefault="0092284C">
      <w:pPr>
        <w:suppressAutoHyphens/>
        <w:jc w:val="both"/>
        <w:rPr>
          <w:szCs w:val="24"/>
          <w:lang w:eastAsia="zh-CN"/>
        </w:rPr>
      </w:pPr>
    </w:p>
    <w:p w14:paraId="04979157" w14:textId="77777777" w:rsidR="0092284C" w:rsidRDefault="00465858">
      <w:pPr>
        <w:suppressAutoHyphens/>
        <w:jc w:val="center"/>
        <w:rPr>
          <w:szCs w:val="24"/>
          <w:lang w:eastAsia="zh-CN"/>
        </w:rPr>
      </w:pPr>
      <w:r>
        <w:rPr>
          <w:b/>
          <w:bCs/>
          <w:szCs w:val="24"/>
          <w:lang w:eastAsia="zh-CN"/>
        </w:rPr>
        <w:t xml:space="preserve">ATLYGINIMO DYDŽIO UŽ VAIKŲ, UGDOMŲ PAGAL IKIMOKYKLINIO IR </w:t>
      </w:r>
      <w:r>
        <w:rPr>
          <w:b/>
          <w:bCs/>
          <w:kern w:val="1"/>
          <w:szCs w:val="24"/>
          <w:lang w:eastAsia="zh-CN"/>
        </w:rPr>
        <w:t>(AR) PRIEŠMOKYKLINIO UGDYMO PROGRAMAS, IŠLAIKYMĄ SAVIVALDYBĖS ŠVIETIMO ĮSTAIGOSE</w:t>
      </w:r>
      <w:r>
        <w:rPr>
          <w:b/>
          <w:bCs/>
          <w:szCs w:val="24"/>
          <w:lang w:eastAsia="zh-CN"/>
        </w:rPr>
        <w:t xml:space="preserve"> NUSTATYMO TVARKOS APRAŠAS </w:t>
      </w:r>
    </w:p>
    <w:p w14:paraId="45AF6224" w14:textId="77777777" w:rsidR="0092284C" w:rsidRDefault="0092284C">
      <w:pPr>
        <w:suppressAutoHyphens/>
        <w:rPr>
          <w:b/>
          <w:bCs/>
          <w:szCs w:val="24"/>
          <w:lang w:eastAsia="zh-CN"/>
        </w:rPr>
      </w:pPr>
    </w:p>
    <w:p w14:paraId="7454C702" w14:textId="77777777" w:rsidR="0092284C" w:rsidRDefault="00465858">
      <w:pPr>
        <w:keepNext/>
        <w:tabs>
          <w:tab w:val="left" w:pos="0"/>
          <w:tab w:val="left" w:pos="2992"/>
          <w:tab w:val="left" w:pos="3179"/>
          <w:tab w:val="left" w:pos="3740"/>
        </w:tabs>
        <w:suppressAutoHyphens/>
        <w:jc w:val="center"/>
        <w:rPr>
          <w:b/>
          <w:bCs/>
          <w:kern w:val="1"/>
          <w:szCs w:val="24"/>
          <w:lang w:eastAsia="zh-CN"/>
        </w:rPr>
      </w:pPr>
      <w:r>
        <w:rPr>
          <w:b/>
          <w:bCs/>
          <w:kern w:val="1"/>
          <w:szCs w:val="24"/>
          <w:lang w:eastAsia="zh-CN"/>
        </w:rPr>
        <w:t>I SKYRIUS</w:t>
      </w:r>
    </w:p>
    <w:p w14:paraId="73637FF3" w14:textId="77777777" w:rsidR="0092284C" w:rsidRDefault="00465858">
      <w:pPr>
        <w:keepNext/>
        <w:tabs>
          <w:tab w:val="left" w:pos="0"/>
          <w:tab w:val="left" w:pos="2992"/>
          <w:tab w:val="left" w:pos="3179"/>
          <w:tab w:val="left" w:pos="3740"/>
        </w:tabs>
        <w:suppressAutoHyphens/>
        <w:jc w:val="center"/>
        <w:rPr>
          <w:b/>
          <w:bCs/>
          <w:kern w:val="1"/>
          <w:szCs w:val="24"/>
          <w:lang w:eastAsia="zh-CN"/>
        </w:rPr>
      </w:pPr>
      <w:r>
        <w:rPr>
          <w:b/>
          <w:bCs/>
          <w:kern w:val="1"/>
          <w:szCs w:val="24"/>
          <w:lang w:eastAsia="zh-CN"/>
        </w:rPr>
        <w:t>BENDROSIOS NUOSTATOS</w:t>
      </w:r>
    </w:p>
    <w:p w14:paraId="4B308097" w14:textId="77777777" w:rsidR="0092284C" w:rsidRDefault="0092284C">
      <w:pPr>
        <w:suppressAutoHyphens/>
        <w:rPr>
          <w:szCs w:val="24"/>
          <w:lang w:eastAsia="zh-CN"/>
        </w:rPr>
      </w:pPr>
    </w:p>
    <w:p w14:paraId="1EC20FAD" w14:textId="77777777" w:rsidR="0092284C" w:rsidRDefault="00465858">
      <w:pPr>
        <w:tabs>
          <w:tab w:val="left" w:pos="0"/>
        </w:tabs>
        <w:suppressAutoHyphens/>
        <w:ind w:left="1069" w:hanging="360"/>
        <w:jc w:val="both"/>
        <w:rPr>
          <w:szCs w:val="24"/>
          <w:lang w:eastAsia="zh-CN"/>
        </w:rPr>
      </w:pPr>
      <w:r>
        <w:rPr>
          <w:szCs w:val="24"/>
          <w:lang w:eastAsia="zh-CN"/>
        </w:rPr>
        <w:t>1.</w:t>
      </w:r>
      <w:r>
        <w:rPr>
          <w:szCs w:val="24"/>
          <w:lang w:eastAsia="zh-CN"/>
        </w:rPr>
        <w:tab/>
        <w:t>Šis tvarkos aprašas (toliau – aprašas) reglamentuoja atlyginimo dydžio už vaikų,</w:t>
      </w:r>
    </w:p>
    <w:p w14:paraId="15E02C21" w14:textId="77777777" w:rsidR="0092284C" w:rsidRDefault="00465858">
      <w:pPr>
        <w:suppressAutoHyphens/>
        <w:jc w:val="both"/>
        <w:rPr>
          <w:szCs w:val="24"/>
          <w:lang w:eastAsia="zh-CN"/>
        </w:rPr>
      </w:pPr>
      <w:r>
        <w:rPr>
          <w:szCs w:val="24"/>
          <w:lang w:eastAsia="zh-CN"/>
        </w:rPr>
        <w:t>ugdomų Savivaldybės švietimo įstaigose pagal ikimokyklinio ir (ar) priešmokyklinio ugdymo programas, išlaikymo dydžio nustatymą, lengvatų taikymo ir tam būtinų dokumentų pateikimo, atlyginimo mokėjimo sąlygas ir tvarką už paslaugas, kurios nėra finansuojamos iš valstybės biudžeto.</w:t>
      </w:r>
    </w:p>
    <w:p w14:paraId="54099E04" w14:textId="77777777" w:rsidR="0092284C" w:rsidRDefault="00465858">
      <w:pPr>
        <w:suppressAutoHyphens/>
        <w:ind w:firstLine="709"/>
        <w:jc w:val="both"/>
        <w:rPr>
          <w:szCs w:val="24"/>
          <w:lang w:eastAsia="zh-CN"/>
        </w:rPr>
      </w:pPr>
      <w:r>
        <w:rPr>
          <w:szCs w:val="24"/>
          <w:lang w:eastAsia="zh-CN"/>
        </w:rPr>
        <w:t>2. Atlyginimas už vaikų, ugdomų pagal ikimokyklinio ir priešmokyklinio ugdymo programas, išlaikymą (toliau –atlyginimas) susideda iš:</w:t>
      </w:r>
    </w:p>
    <w:p w14:paraId="0FFFE9DB" w14:textId="77777777" w:rsidR="0092284C" w:rsidRDefault="00465858">
      <w:pPr>
        <w:suppressAutoHyphens/>
        <w:ind w:firstLine="709"/>
        <w:jc w:val="both"/>
        <w:rPr>
          <w:szCs w:val="24"/>
          <w:lang w:eastAsia="zh-CN"/>
        </w:rPr>
      </w:pPr>
      <w:r>
        <w:rPr>
          <w:szCs w:val="24"/>
          <w:lang w:eastAsia="zh-CN"/>
        </w:rPr>
        <w:t>2.1. atlyginimo už maitinimą – išlaidos maisto produktams;</w:t>
      </w:r>
    </w:p>
    <w:p w14:paraId="67BB2756" w14:textId="77777777" w:rsidR="0092284C" w:rsidRDefault="00465858">
      <w:pPr>
        <w:suppressAutoHyphens/>
        <w:ind w:firstLine="709"/>
        <w:jc w:val="both"/>
        <w:rPr>
          <w:szCs w:val="24"/>
          <w:lang w:eastAsia="zh-CN"/>
        </w:rPr>
      </w:pPr>
      <w:r>
        <w:rPr>
          <w:szCs w:val="24"/>
          <w:lang w:eastAsia="zh-CN"/>
        </w:rPr>
        <w:t>2.2. atlyginimo įstaigos reikmėms – mokesčio už ugdymo sąlygų, edukacinių aplinkų gerinimą ir už priemones, skirtas vaikų kompetencijoms ugdyti.</w:t>
      </w:r>
    </w:p>
    <w:p w14:paraId="11E0F19A" w14:textId="77777777" w:rsidR="0092284C" w:rsidRDefault="00465858">
      <w:pPr>
        <w:suppressAutoHyphens/>
        <w:ind w:firstLine="709"/>
        <w:jc w:val="both"/>
        <w:rPr>
          <w:szCs w:val="24"/>
          <w:lang w:eastAsia="zh-CN"/>
        </w:rPr>
      </w:pPr>
      <w:r>
        <w:rPr>
          <w:szCs w:val="24"/>
          <w:lang w:eastAsia="zh-CN"/>
        </w:rPr>
        <w:t>3. Atlyginimą moka tėvai (įtėviai, globėjai), kurių vaikai ugdomi pagal ikimokyklinio ir priešmokyklinio ugdymo programas.</w:t>
      </w:r>
    </w:p>
    <w:p w14:paraId="7DA14EDF" w14:textId="77777777" w:rsidR="0092284C" w:rsidRDefault="00465858">
      <w:pPr>
        <w:suppressAutoHyphens/>
        <w:ind w:firstLine="709"/>
        <w:jc w:val="both"/>
        <w:rPr>
          <w:szCs w:val="24"/>
          <w:lang w:eastAsia="zh-CN"/>
        </w:rPr>
      </w:pPr>
      <w:r>
        <w:rPr>
          <w:szCs w:val="24"/>
          <w:lang w:eastAsia="zh-CN"/>
        </w:rPr>
        <w:t>4.</w:t>
      </w:r>
      <w:r>
        <w:rPr>
          <w:szCs w:val="24"/>
          <w:lang w:eastAsia="zh-CN" w:bidi="lo-LA"/>
        </w:rPr>
        <w:t xml:space="preserve"> Apraše vartojamos sąvokos atitinka Lietuvos Respublikos švietimo įstatyme ir kituose švietimą reglamentuojančiuose teisės aktuose vartojamas sąvokas.</w:t>
      </w:r>
    </w:p>
    <w:p w14:paraId="305BCE7A" w14:textId="77777777" w:rsidR="0092284C" w:rsidRDefault="0092284C">
      <w:pPr>
        <w:suppressAutoHyphens/>
        <w:jc w:val="both"/>
        <w:rPr>
          <w:szCs w:val="24"/>
          <w:lang w:eastAsia="zh-CN" w:bidi="lo-LA"/>
        </w:rPr>
      </w:pPr>
    </w:p>
    <w:p w14:paraId="4D0CF5C3" w14:textId="77777777" w:rsidR="0092284C" w:rsidRDefault="00465858">
      <w:pPr>
        <w:suppressAutoHyphens/>
        <w:jc w:val="center"/>
        <w:rPr>
          <w:szCs w:val="24"/>
          <w:lang w:eastAsia="zh-CN"/>
        </w:rPr>
      </w:pPr>
      <w:r>
        <w:rPr>
          <w:b/>
          <w:bCs/>
          <w:szCs w:val="24"/>
          <w:lang w:eastAsia="zh-CN"/>
        </w:rPr>
        <w:t>II SKYRIUS</w:t>
      </w:r>
    </w:p>
    <w:p w14:paraId="053D12B5" w14:textId="77777777" w:rsidR="0092284C" w:rsidRDefault="00465858">
      <w:pPr>
        <w:suppressAutoHyphens/>
        <w:jc w:val="center"/>
        <w:rPr>
          <w:szCs w:val="24"/>
          <w:lang w:eastAsia="zh-CN"/>
        </w:rPr>
      </w:pPr>
      <w:r>
        <w:rPr>
          <w:b/>
          <w:bCs/>
          <w:szCs w:val="24"/>
          <w:lang w:eastAsia="zh-CN"/>
        </w:rPr>
        <w:t>ATLYGINIMO DYDŽIO UŽ VAIKŲ IŠLAIKYMĄ NUSTATYMAS</w:t>
      </w:r>
    </w:p>
    <w:p w14:paraId="13036D91" w14:textId="77777777" w:rsidR="0092284C" w:rsidRDefault="0092284C">
      <w:pPr>
        <w:suppressAutoHyphens/>
        <w:rPr>
          <w:b/>
          <w:bCs/>
          <w:szCs w:val="24"/>
          <w:lang w:eastAsia="zh-CN"/>
        </w:rPr>
      </w:pPr>
    </w:p>
    <w:p w14:paraId="058F15EB" w14:textId="77777777" w:rsidR="0092284C" w:rsidRDefault="00465858">
      <w:pPr>
        <w:suppressAutoHyphens/>
        <w:ind w:right="-1" w:firstLine="709"/>
        <w:jc w:val="both"/>
        <w:rPr>
          <w:szCs w:val="24"/>
          <w:lang w:eastAsia="zh-CN"/>
        </w:rPr>
      </w:pPr>
      <w:r>
        <w:rPr>
          <w:szCs w:val="24"/>
          <w:lang w:eastAsia="zh-CN"/>
        </w:rPr>
        <w:t>5. Vaikų, ugdomų pagal ikimokyklinio ir (ar) priešmokyklinio ugdymo programas, tėvai (globėjai, rūpintojai) turi teisę pasirinkti maitinimų skaičių pagal tai, kiek valandų per dieną vaikas praleidžia įstaigoje, arba atsisakyti maitinimo paslaugų, jeigu vaikas įstaigoje būna ne ilgiau kaip 4 val. per dieną. Pageidaujantiems maitintis taikoma vaiko amžiaus grupės maitinimosi išlaidų norma. Vaikams, ugdomiems pagal priešmokyklinio ugdymo programą, kuriems yra paskirtas nemokamas maitinimas (pietūs ir (ar) pusryčiai ir pietūs) pagal Lietuvos Respublikos socialinės paramos mokiniams įstatymą, tėvų (globėjų, rūpintojų) pageidavimu  už kitus maitinimus moka tėvai (globėjai, rūpintojai).</w:t>
      </w:r>
    </w:p>
    <w:p w14:paraId="5D487B5C" w14:textId="77777777" w:rsidR="0092284C" w:rsidRDefault="00465858">
      <w:pPr>
        <w:suppressAutoHyphens/>
        <w:ind w:firstLine="709"/>
        <w:jc w:val="both"/>
        <w:rPr>
          <w:szCs w:val="24"/>
          <w:lang w:eastAsia="zh-CN"/>
        </w:rPr>
      </w:pPr>
      <w:r>
        <w:rPr>
          <w:szCs w:val="24"/>
          <w:lang w:eastAsia="zh-CN"/>
        </w:rPr>
        <w:t>6. Vaikų, ugdomų pagal ikimokyklinio ir priešmokyklinio ugdymo programas, tėvai (globėjai, rūpintojai) moka 100 procentų vaikų dienos maitinimo normos dydžio mokestį už maitinimą, už kiekvieną vaiko lankytą ir nelankytą nepateisintą dieną:</w:t>
      </w:r>
    </w:p>
    <w:p w14:paraId="40B171F5" w14:textId="77777777" w:rsidR="0092284C" w:rsidRDefault="0092284C">
      <w:pPr>
        <w:suppressAutoHyphens/>
        <w:ind w:firstLine="709"/>
        <w:jc w:val="both"/>
        <w:rPr>
          <w:szCs w:val="24"/>
          <w:lang w:eastAsia="zh-CN"/>
        </w:rPr>
      </w:pPr>
    </w:p>
    <w:tbl>
      <w:tblPr>
        <w:tblW w:w="5000" w:type="pct"/>
        <w:tblLook w:val="0000" w:firstRow="0" w:lastRow="0" w:firstColumn="0" w:lastColumn="0" w:noHBand="0" w:noVBand="0"/>
      </w:tblPr>
      <w:tblGrid>
        <w:gridCol w:w="2711"/>
        <w:gridCol w:w="1471"/>
        <w:gridCol w:w="1167"/>
        <w:gridCol w:w="1633"/>
        <w:gridCol w:w="1598"/>
        <w:gridCol w:w="1048"/>
      </w:tblGrid>
      <w:tr w:rsidR="0092284C" w14:paraId="6ED5498E" w14:textId="77777777">
        <w:tc>
          <w:tcPr>
            <w:tcW w:w="1408" w:type="pct"/>
            <w:vMerge w:val="restart"/>
            <w:tcBorders>
              <w:top w:val="single" w:sz="4" w:space="0" w:color="000000"/>
              <w:left w:val="single" w:sz="4" w:space="0" w:color="000000"/>
              <w:bottom w:val="single" w:sz="4" w:space="0" w:color="000000"/>
            </w:tcBorders>
            <w:shd w:val="clear" w:color="auto" w:fill="auto"/>
          </w:tcPr>
          <w:p w14:paraId="726D8F4E" w14:textId="77777777" w:rsidR="0092284C" w:rsidRDefault="0092284C">
            <w:pPr>
              <w:suppressAutoHyphens/>
              <w:snapToGrid w:val="0"/>
              <w:spacing w:line="252" w:lineRule="auto"/>
              <w:jc w:val="both"/>
              <w:rPr>
                <w:szCs w:val="24"/>
                <w:lang w:eastAsia="zh-CN" w:bidi="lo-LA"/>
              </w:rPr>
            </w:pPr>
          </w:p>
          <w:p w14:paraId="701F923A" w14:textId="77777777" w:rsidR="0092284C" w:rsidRDefault="00465858">
            <w:pPr>
              <w:suppressAutoHyphens/>
              <w:spacing w:line="252" w:lineRule="auto"/>
              <w:jc w:val="center"/>
              <w:rPr>
                <w:szCs w:val="24"/>
                <w:lang w:eastAsia="zh-CN"/>
              </w:rPr>
            </w:pPr>
            <w:r>
              <w:rPr>
                <w:szCs w:val="24"/>
                <w:lang w:eastAsia="zh-CN" w:bidi="lo-LA"/>
              </w:rPr>
              <w:t>Grupės pavadinimas</w:t>
            </w:r>
          </w:p>
        </w:tc>
        <w:tc>
          <w:tcPr>
            <w:tcW w:w="3592" w:type="pct"/>
            <w:gridSpan w:val="5"/>
            <w:tcBorders>
              <w:top w:val="single" w:sz="4" w:space="0" w:color="000000"/>
              <w:left w:val="single" w:sz="4" w:space="0" w:color="000000"/>
              <w:bottom w:val="single" w:sz="4" w:space="0" w:color="000000"/>
              <w:right w:val="single" w:sz="4" w:space="0" w:color="000000"/>
            </w:tcBorders>
            <w:shd w:val="clear" w:color="auto" w:fill="auto"/>
          </w:tcPr>
          <w:p w14:paraId="0639B4AF" w14:textId="77777777" w:rsidR="0092284C" w:rsidRDefault="00465858">
            <w:pPr>
              <w:suppressAutoHyphens/>
              <w:spacing w:line="252" w:lineRule="auto"/>
              <w:jc w:val="center"/>
              <w:rPr>
                <w:szCs w:val="24"/>
                <w:lang w:eastAsia="zh-CN"/>
              </w:rPr>
            </w:pPr>
            <w:r>
              <w:rPr>
                <w:szCs w:val="24"/>
                <w:lang w:eastAsia="zh-CN" w:bidi="lo-LA"/>
              </w:rPr>
              <w:t>Maitinimo išlaidos, Eur (už 1 vaiko lankytą ir nelankytą nepateisintą dieną)</w:t>
            </w:r>
          </w:p>
        </w:tc>
      </w:tr>
      <w:tr w:rsidR="0092284C" w14:paraId="4B27B9EC" w14:textId="77777777">
        <w:trPr>
          <w:trHeight w:val="550"/>
        </w:trPr>
        <w:tc>
          <w:tcPr>
            <w:tcW w:w="1408" w:type="pct"/>
            <w:vMerge/>
            <w:tcBorders>
              <w:top w:val="single" w:sz="4" w:space="0" w:color="000000"/>
              <w:left w:val="single" w:sz="4" w:space="0" w:color="000000"/>
              <w:bottom w:val="single" w:sz="4" w:space="0" w:color="000000"/>
            </w:tcBorders>
            <w:shd w:val="clear" w:color="auto" w:fill="auto"/>
          </w:tcPr>
          <w:p w14:paraId="0773BE55" w14:textId="77777777" w:rsidR="0092284C" w:rsidRDefault="0092284C">
            <w:pPr>
              <w:suppressAutoHyphens/>
              <w:snapToGrid w:val="0"/>
              <w:rPr>
                <w:szCs w:val="24"/>
                <w:lang w:eastAsia="zh-CN" w:bidi="lo-LA"/>
              </w:rPr>
            </w:pPr>
          </w:p>
        </w:tc>
        <w:tc>
          <w:tcPr>
            <w:tcW w:w="764" w:type="pct"/>
            <w:tcBorders>
              <w:top w:val="single" w:sz="4" w:space="0" w:color="000000"/>
              <w:left w:val="single" w:sz="4" w:space="0" w:color="000000"/>
              <w:bottom w:val="single" w:sz="4" w:space="0" w:color="000000"/>
            </w:tcBorders>
            <w:shd w:val="clear" w:color="auto" w:fill="auto"/>
          </w:tcPr>
          <w:p w14:paraId="7E596C29" w14:textId="77777777" w:rsidR="0092284C" w:rsidRDefault="0092284C">
            <w:pPr>
              <w:suppressAutoHyphens/>
              <w:snapToGrid w:val="0"/>
              <w:spacing w:line="252" w:lineRule="auto"/>
              <w:jc w:val="center"/>
              <w:rPr>
                <w:szCs w:val="24"/>
                <w:lang w:eastAsia="zh-CN" w:bidi="lo-LA"/>
              </w:rPr>
            </w:pPr>
          </w:p>
          <w:p w14:paraId="47976452" w14:textId="77777777" w:rsidR="0092284C" w:rsidRDefault="00465858">
            <w:pPr>
              <w:suppressAutoHyphens/>
              <w:spacing w:line="252" w:lineRule="auto"/>
              <w:jc w:val="center"/>
              <w:rPr>
                <w:szCs w:val="24"/>
                <w:lang w:eastAsia="zh-CN"/>
              </w:rPr>
            </w:pPr>
            <w:r>
              <w:rPr>
                <w:szCs w:val="24"/>
                <w:lang w:eastAsia="zh-CN" w:bidi="lo-LA"/>
              </w:rPr>
              <w:t>Pusryčiai</w:t>
            </w:r>
          </w:p>
        </w:tc>
        <w:tc>
          <w:tcPr>
            <w:tcW w:w="606" w:type="pct"/>
            <w:tcBorders>
              <w:top w:val="single" w:sz="4" w:space="0" w:color="000000"/>
              <w:left w:val="single" w:sz="4" w:space="0" w:color="000000"/>
              <w:bottom w:val="single" w:sz="4" w:space="0" w:color="000000"/>
            </w:tcBorders>
            <w:shd w:val="clear" w:color="auto" w:fill="auto"/>
          </w:tcPr>
          <w:p w14:paraId="15F06858" w14:textId="77777777" w:rsidR="0092284C" w:rsidRDefault="0092284C">
            <w:pPr>
              <w:suppressAutoHyphens/>
              <w:snapToGrid w:val="0"/>
              <w:spacing w:line="252" w:lineRule="auto"/>
              <w:jc w:val="center"/>
              <w:rPr>
                <w:szCs w:val="24"/>
                <w:lang w:eastAsia="zh-CN" w:bidi="lo-LA"/>
              </w:rPr>
            </w:pPr>
          </w:p>
          <w:p w14:paraId="42DFC78B" w14:textId="77777777" w:rsidR="0092284C" w:rsidRDefault="00465858">
            <w:pPr>
              <w:suppressAutoHyphens/>
              <w:spacing w:line="252" w:lineRule="auto"/>
              <w:jc w:val="center"/>
              <w:rPr>
                <w:szCs w:val="24"/>
                <w:lang w:eastAsia="zh-CN"/>
              </w:rPr>
            </w:pPr>
            <w:r>
              <w:rPr>
                <w:szCs w:val="24"/>
                <w:lang w:eastAsia="zh-CN" w:bidi="lo-LA"/>
              </w:rPr>
              <w:t>Pietūs</w:t>
            </w:r>
          </w:p>
        </w:tc>
        <w:tc>
          <w:tcPr>
            <w:tcW w:w="848" w:type="pct"/>
            <w:tcBorders>
              <w:top w:val="single" w:sz="4" w:space="0" w:color="000000"/>
              <w:left w:val="single" w:sz="4" w:space="0" w:color="000000"/>
              <w:bottom w:val="single" w:sz="4" w:space="0" w:color="000000"/>
            </w:tcBorders>
            <w:shd w:val="clear" w:color="auto" w:fill="auto"/>
          </w:tcPr>
          <w:p w14:paraId="1DF6F597" w14:textId="77777777" w:rsidR="0092284C" w:rsidRDefault="0092284C">
            <w:pPr>
              <w:suppressAutoHyphens/>
              <w:snapToGrid w:val="0"/>
              <w:spacing w:line="252" w:lineRule="auto"/>
              <w:jc w:val="center"/>
              <w:rPr>
                <w:szCs w:val="24"/>
                <w:lang w:eastAsia="zh-CN" w:bidi="lo-LA"/>
              </w:rPr>
            </w:pPr>
          </w:p>
          <w:p w14:paraId="26387062" w14:textId="77777777" w:rsidR="0092284C" w:rsidRDefault="00465858">
            <w:pPr>
              <w:suppressAutoHyphens/>
              <w:spacing w:line="252" w:lineRule="auto"/>
              <w:jc w:val="center"/>
              <w:rPr>
                <w:szCs w:val="24"/>
                <w:lang w:eastAsia="zh-CN"/>
              </w:rPr>
            </w:pPr>
            <w:r>
              <w:rPr>
                <w:szCs w:val="24"/>
                <w:lang w:eastAsia="zh-CN" w:bidi="lo-LA"/>
              </w:rPr>
              <w:t>Pavakariai</w:t>
            </w:r>
          </w:p>
        </w:tc>
        <w:tc>
          <w:tcPr>
            <w:tcW w:w="830" w:type="pct"/>
            <w:tcBorders>
              <w:top w:val="single" w:sz="4" w:space="0" w:color="000000"/>
              <w:left w:val="single" w:sz="4" w:space="0" w:color="000000"/>
              <w:bottom w:val="single" w:sz="4" w:space="0" w:color="000000"/>
            </w:tcBorders>
            <w:shd w:val="clear" w:color="auto" w:fill="auto"/>
          </w:tcPr>
          <w:p w14:paraId="5E3C20DD" w14:textId="77777777" w:rsidR="0092284C" w:rsidRDefault="0092284C">
            <w:pPr>
              <w:suppressAutoHyphens/>
              <w:snapToGrid w:val="0"/>
              <w:spacing w:line="252" w:lineRule="auto"/>
              <w:jc w:val="center"/>
              <w:rPr>
                <w:szCs w:val="24"/>
                <w:lang w:eastAsia="zh-CN" w:bidi="lo-LA"/>
              </w:rPr>
            </w:pPr>
          </w:p>
          <w:p w14:paraId="43C5A024" w14:textId="77777777" w:rsidR="0092284C" w:rsidRDefault="00465858">
            <w:pPr>
              <w:suppressAutoHyphens/>
              <w:spacing w:line="252" w:lineRule="auto"/>
              <w:jc w:val="center"/>
              <w:rPr>
                <w:szCs w:val="24"/>
                <w:lang w:eastAsia="zh-CN"/>
              </w:rPr>
            </w:pPr>
            <w:r>
              <w:rPr>
                <w:szCs w:val="24"/>
                <w:lang w:eastAsia="zh-CN" w:bidi="lo-LA"/>
              </w:rPr>
              <w:t>Vakarienė</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14:paraId="0F9D6776" w14:textId="77777777" w:rsidR="0092284C" w:rsidRDefault="0092284C">
            <w:pPr>
              <w:suppressAutoHyphens/>
              <w:snapToGrid w:val="0"/>
              <w:spacing w:line="252" w:lineRule="auto"/>
              <w:jc w:val="center"/>
              <w:rPr>
                <w:szCs w:val="24"/>
                <w:lang w:eastAsia="zh-CN" w:bidi="lo-LA"/>
              </w:rPr>
            </w:pPr>
          </w:p>
          <w:p w14:paraId="2496E04D" w14:textId="77777777" w:rsidR="0092284C" w:rsidRDefault="00465858">
            <w:pPr>
              <w:suppressAutoHyphens/>
              <w:spacing w:line="252" w:lineRule="auto"/>
              <w:jc w:val="center"/>
              <w:rPr>
                <w:szCs w:val="24"/>
                <w:lang w:eastAsia="zh-CN"/>
              </w:rPr>
            </w:pPr>
            <w:r>
              <w:rPr>
                <w:szCs w:val="24"/>
                <w:lang w:eastAsia="zh-CN" w:bidi="lo-LA"/>
              </w:rPr>
              <w:t>Iš viso</w:t>
            </w:r>
          </w:p>
        </w:tc>
      </w:tr>
      <w:tr w:rsidR="0092284C" w14:paraId="466812FC" w14:textId="77777777">
        <w:tc>
          <w:tcPr>
            <w:tcW w:w="1408" w:type="pct"/>
            <w:tcBorders>
              <w:top w:val="single" w:sz="4" w:space="0" w:color="000000"/>
              <w:left w:val="single" w:sz="4" w:space="0" w:color="000000"/>
              <w:bottom w:val="single" w:sz="4" w:space="0" w:color="000000"/>
            </w:tcBorders>
            <w:shd w:val="clear" w:color="auto" w:fill="auto"/>
          </w:tcPr>
          <w:p w14:paraId="4E14654E" w14:textId="77777777" w:rsidR="0092284C" w:rsidRDefault="00465858">
            <w:pPr>
              <w:suppressAutoHyphens/>
              <w:spacing w:line="252" w:lineRule="auto"/>
              <w:jc w:val="center"/>
              <w:rPr>
                <w:szCs w:val="24"/>
                <w:lang w:eastAsia="zh-CN"/>
              </w:rPr>
            </w:pPr>
            <w:r>
              <w:rPr>
                <w:szCs w:val="24"/>
                <w:lang w:eastAsia="zh-CN" w:bidi="lo-LA"/>
              </w:rPr>
              <w:t>Lopšelio grupės</w:t>
            </w:r>
          </w:p>
          <w:p w14:paraId="7F7F419E" w14:textId="77777777" w:rsidR="0092284C" w:rsidRDefault="00465858">
            <w:pPr>
              <w:suppressAutoHyphens/>
              <w:spacing w:line="252" w:lineRule="auto"/>
              <w:jc w:val="center"/>
              <w:rPr>
                <w:szCs w:val="24"/>
                <w:lang w:eastAsia="zh-CN"/>
              </w:rPr>
            </w:pPr>
            <w:r>
              <w:rPr>
                <w:szCs w:val="24"/>
                <w:lang w:eastAsia="zh-CN" w:bidi="lo-LA"/>
              </w:rPr>
              <w:t>(nuo 0 m. iki 3 m.)</w:t>
            </w:r>
          </w:p>
        </w:tc>
        <w:tc>
          <w:tcPr>
            <w:tcW w:w="764" w:type="pct"/>
            <w:tcBorders>
              <w:top w:val="single" w:sz="4" w:space="0" w:color="000000"/>
              <w:left w:val="single" w:sz="4" w:space="0" w:color="000000"/>
              <w:bottom w:val="single" w:sz="4" w:space="0" w:color="000000"/>
            </w:tcBorders>
            <w:shd w:val="clear" w:color="auto" w:fill="auto"/>
          </w:tcPr>
          <w:p w14:paraId="500533E6" w14:textId="77777777" w:rsidR="0092284C" w:rsidRDefault="0092284C">
            <w:pPr>
              <w:suppressAutoHyphens/>
              <w:snapToGrid w:val="0"/>
              <w:spacing w:line="252" w:lineRule="auto"/>
              <w:jc w:val="center"/>
              <w:rPr>
                <w:szCs w:val="24"/>
                <w:lang w:eastAsia="zh-CN" w:bidi="lo-LA"/>
              </w:rPr>
            </w:pPr>
          </w:p>
          <w:p w14:paraId="72A4CECD" w14:textId="77777777" w:rsidR="0092284C" w:rsidRDefault="00465858">
            <w:pPr>
              <w:suppressAutoHyphens/>
              <w:spacing w:line="252" w:lineRule="auto"/>
              <w:jc w:val="center"/>
              <w:rPr>
                <w:szCs w:val="24"/>
                <w:lang w:eastAsia="zh-CN"/>
              </w:rPr>
            </w:pPr>
            <w:r>
              <w:rPr>
                <w:szCs w:val="24"/>
                <w:lang w:eastAsia="zh-CN" w:bidi="lo-LA"/>
              </w:rPr>
              <w:t>0,55</w:t>
            </w:r>
          </w:p>
        </w:tc>
        <w:tc>
          <w:tcPr>
            <w:tcW w:w="606" w:type="pct"/>
            <w:tcBorders>
              <w:top w:val="single" w:sz="4" w:space="0" w:color="000000"/>
              <w:left w:val="single" w:sz="4" w:space="0" w:color="000000"/>
              <w:bottom w:val="single" w:sz="4" w:space="0" w:color="000000"/>
            </w:tcBorders>
            <w:shd w:val="clear" w:color="auto" w:fill="auto"/>
          </w:tcPr>
          <w:p w14:paraId="379E7CEB" w14:textId="77777777" w:rsidR="0092284C" w:rsidRDefault="0092284C">
            <w:pPr>
              <w:suppressAutoHyphens/>
              <w:snapToGrid w:val="0"/>
              <w:spacing w:line="252" w:lineRule="auto"/>
              <w:jc w:val="center"/>
              <w:rPr>
                <w:szCs w:val="24"/>
                <w:lang w:eastAsia="zh-CN" w:bidi="lo-LA"/>
              </w:rPr>
            </w:pPr>
          </w:p>
          <w:p w14:paraId="562B1352" w14:textId="77777777" w:rsidR="0092284C" w:rsidRDefault="00465858">
            <w:pPr>
              <w:suppressAutoHyphens/>
              <w:snapToGrid w:val="0"/>
              <w:spacing w:line="252" w:lineRule="auto"/>
              <w:jc w:val="center"/>
              <w:rPr>
                <w:szCs w:val="24"/>
                <w:lang w:eastAsia="zh-CN" w:bidi="lo-LA"/>
              </w:rPr>
            </w:pPr>
            <w:r>
              <w:rPr>
                <w:szCs w:val="24"/>
                <w:lang w:eastAsia="zh-CN" w:bidi="lo-LA"/>
              </w:rPr>
              <w:t>1,50</w:t>
            </w:r>
          </w:p>
        </w:tc>
        <w:tc>
          <w:tcPr>
            <w:tcW w:w="848" w:type="pct"/>
            <w:tcBorders>
              <w:top w:val="single" w:sz="4" w:space="0" w:color="000000"/>
              <w:left w:val="single" w:sz="4" w:space="0" w:color="000000"/>
              <w:bottom w:val="single" w:sz="4" w:space="0" w:color="000000"/>
            </w:tcBorders>
            <w:shd w:val="clear" w:color="auto" w:fill="auto"/>
          </w:tcPr>
          <w:p w14:paraId="4D91035C" w14:textId="77777777" w:rsidR="0092284C" w:rsidRDefault="0092284C">
            <w:pPr>
              <w:suppressAutoHyphens/>
              <w:snapToGrid w:val="0"/>
              <w:spacing w:line="252" w:lineRule="auto"/>
              <w:jc w:val="center"/>
              <w:rPr>
                <w:szCs w:val="24"/>
                <w:lang w:eastAsia="zh-CN" w:bidi="lo-LA"/>
              </w:rPr>
            </w:pPr>
          </w:p>
          <w:p w14:paraId="4F3AC0B4" w14:textId="77777777" w:rsidR="0092284C" w:rsidRDefault="00465858">
            <w:pPr>
              <w:suppressAutoHyphens/>
              <w:spacing w:line="252" w:lineRule="auto"/>
              <w:jc w:val="center"/>
              <w:rPr>
                <w:szCs w:val="24"/>
                <w:lang w:eastAsia="zh-CN"/>
              </w:rPr>
            </w:pPr>
            <w:r>
              <w:rPr>
                <w:szCs w:val="24"/>
                <w:lang w:eastAsia="zh-CN" w:bidi="lo-LA"/>
              </w:rPr>
              <w:t>0,55</w:t>
            </w:r>
          </w:p>
        </w:tc>
        <w:tc>
          <w:tcPr>
            <w:tcW w:w="830" w:type="pct"/>
            <w:tcBorders>
              <w:top w:val="single" w:sz="4" w:space="0" w:color="000000"/>
              <w:left w:val="single" w:sz="4" w:space="0" w:color="000000"/>
              <w:bottom w:val="single" w:sz="4" w:space="0" w:color="000000"/>
            </w:tcBorders>
            <w:shd w:val="clear" w:color="auto" w:fill="auto"/>
          </w:tcPr>
          <w:p w14:paraId="1BFFA2E4" w14:textId="77777777" w:rsidR="0092284C" w:rsidRDefault="0092284C">
            <w:pPr>
              <w:suppressAutoHyphens/>
              <w:spacing w:line="252" w:lineRule="auto"/>
              <w:jc w:val="center"/>
              <w:rPr>
                <w:szCs w:val="24"/>
                <w:lang w:eastAsia="zh-CN" w:bidi="lo-LA"/>
              </w:rPr>
            </w:pPr>
          </w:p>
          <w:p w14:paraId="3918D514" w14:textId="77777777" w:rsidR="0092284C" w:rsidRDefault="00465858">
            <w:pPr>
              <w:suppressAutoHyphens/>
              <w:spacing w:line="252" w:lineRule="auto"/>
              <w:jc w:val="center"/>
              <w:rPr>
                <w:szCs w:val="24"/>
                <w:lang w:eastAsia="zh-CN"/>
              </w:rPr>
            </w:pPr>
            <w:r>
              <w:rPr>
                <w:szCs w:val="24"/>
                <w:lang w:eastAsia="zh-CN" w:bidi="lo-LA"/>
              </w:rPr>
              <w:t>-</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14:paraId="08B3285A" w14:textId="77777777" w:rsidR="0092284C" w:rsidRDefault="0092284C">
            <w:pPr>
              <w:suppressAutoHyphens/>
              <w:snapToGrid w:val="0"/>
              <w:spacing w:line="252" w:lineRule="auto"/>
              <w:jc w:val="center"/>
              <w:rPr>
                <w:szCs w:val="24"/>
                <w:lang w:eastAsia="zh-CN" w:bidi="lo-LA"/>
              </w:rPr>
            </w:pPr>
          </w:p>
          <w:p w14:paraId="5C1FAE21" w14:textId="77777777" w:rsidR="0092284C" w:rsidRDefault="00465858">
            <w:pPr>
              <w:suppressAutoHyphens/>
              <w:snapToGrid w:val="0"/>
              <w:spacing w:line="252" w:lineRule="auto"/>
              <w:jc w:val="center"/>
              <w:rPr>
                <w:szCs w:val="24"/>
                <w:lang w:eastAsia="zh-CN" w:bidi="lo-LA"/>
              </w:rPr>
            </w:pPr>
            <w:r>
              <w:rPr>
                <w:szCs w:val="24"/>
                <w:lang w:eastAsia="zh-CN" w:bidi="lo-LA"/>
              </w:rPr>
              <w:t>2,60</w:t>
            </w:r>
          </w:p>
        </w:tc>
      </w:tr>
      <w:tr w:rsidR="0092284C" w14:paraId="5370EFD8" w14:textId="77777777">
        <w:tc>
          <w:tcPr>
            <w:tcW w:w="1408" w:type="pct"/>
            <w:tcBorders>
              <w:top w:val="single" w:sz="4" w:space="0" w:color="000000"/>
              <w:left w:val="single" w:sz="4" w:space="0" w:color="000000"/>
              <w:bottom w:val="single" w:sz="4" w:space="0" w:color="000000"/>
            </w:tcBorders>
            <w:shd w:val="clear" w:color="auto" w:fill="auto"/>
          </w:tcPr>
          <w:p w14:paraId="21AD3613" w14:textId="77777777" w:rsidR="0092284C" w:rsidRDefault="00465858">
            <w:pPr>
              <w:suppressAutoHyphens/>
              <w:spacing w:line="252" w:lineRule="auto"/>
              <w:jc w:val="center"/>
              <w:rPr>
                <w:szCs w:val="24"/>
                <w:lang w:eastAsia="zh-CN"/>
              </w:rPr>
            </w:pPr>
            <w:r>
              <w:rPr>
                <w:szCs w:val="24"/>
                <w:lang w:eastAsia="zh-CN" w:bidi="lo-LA"/>
              </w:rPr>
              <w:t>Darželio grupės</w:t>
            </w:r>
          </w:p>
          <w:p w14:paraId="0D00394B" w14:textId="77777777" w:rsidR="0092284C" w:rsidRDefault="00465858">
            <w:pPr>
              <w:suppressAutoHyphens/>
              <w:spacing w:line="252" w:lineRule="auto"/>
              <w:jc w:val="center"/>
              <w:rPr>
                <w:szCs w:val="24"/>
                <w:lang w:eastAsia="zh-CN"/>
              </w:rPr>
            </w:pPr>
            <w:r>
              <w:rPr>
                <w:szCs w:val="24"/>
                <w:lang w:eastAsia="zh-CN" w:bidi="lo-LA"/>
              </w:rPr>
              <w:t>(nuo 3 m. iki 6 m.)</w:t>
            </w:r>
          </w:p>
        </w:tc>
        <w:tc>
          <w:tcPr>
            <w:tcW w:w="764" w:type="pct"/>
            <w:tcBorders>
              <w:top w:val="single" w:sz="4" w:space="0" w:color="000000"/>
              <w:left w:val="single" w:sz="4" w:space="0" w:color="000000"/>
              <w:bottom w:val="single" w:sz="4" w:space="0" w:color="000000"/>
            </w:tcBorders>
            <w:shd w:val="clear" w:color="auto" w:fill="auto"/>
          </w:tcPr>
          <w:p w14:paraId="5CA2A32C" w14:textId="77777777" w:rsidR="0092284C" w:rsidRDefault="0092284C">
            <w:pPr>
              <w:suppressAutoHyphens/>
              <w:snapToGrid w:val="0"/>
              <w:spacing w:line="252" w:lineRule="auto"/>
              <w:jc w:val="center"/>
              <w:rPr>
                <w:szCs w:val="24"/>
                <w:lang w:eastAsia="zh-CN" w:bidi="lo-LA"/>
              </w:rPr>
            </w:pPr>
          </w:p>
          <w:p w14:paraId="665AC046" w14:textId="77777777" w:rsidR="0092284C" w:rsidRDefault="00465858">
            <w:pPr>
              <w:suppressAutoHyphens/>
              <w:spacing w:line="252" w:lineRule="auto"/>
              <w:jc w:val="center"/>
              <w:rPr>
                <w:szCs w:val="24"/>
                <w:lang w:eastAsia="zh-CN"/>
              </w:rPr>
            </w:pPr>
            <w:r>
              <w:rPr>
                <w:szCs w:val="24"/>
                <w:lang w:eastAsia="zh-CN" w:bidi="lo-LA"/>
              </w:rPr>
              <w:t>0,60</w:t>
            </w:r>
          </w:p>
        </w:tc>
        <w:tc>
          <w:tcPr>
            <w:tcW w:w="606" w:type="pct"/>
            <w:tcBorders>
              <w:top w:val="single" w:sz="4" w:space="0" w:color="000000"/>
              <w:left w:val="single" w:sz="4" w:space="0" w:color="000000"/>
              <w:bottom w:val="single" w:sz="4" w:space="0" w:color="000000"/>
            </w:tcBorders>
            <w:shd w:val="clear" w:color="auto" w:fill="auto"/>
          </w:tcPr>
          <w:p w14:paraId="428F2FD8" w14:textId="77777777" w:rsidR="0092284C" w:rsidRDefault="0092284C">
            <w:pPr>
              <w:suppressAutoHyphens/>
              <w:spacing w:line="252" w:lineRule="auto"/>
              <w:jc w:val="center"/>
              <w:rPr>
                <w:szCs w:val="24"/>
                <w:lang w:eastAsia="zh-CN" w:bidi="lo-LA"/>
              </w:rPr>
            </w:pPr>
          </w:p>
          <w:p w14:paraId="0A2B5953" w14:textId="77777777" w:rsidR="0092284C" w:rsidRDefault="00465858">
            <w:pPr>
              <w:suppressAutoHyphens/>
              <w:spacing w:line="252" w:lineRule="auto"/>
              <w:jc w:val="center"/>
              <w:rPr>
                <w:b/>
                <w:strike/>
                <w:szCs w:val="24"/>
                <w:lang w:eastAsia="zh-CN"/>
              </w:rPr>
            </w:pPr>
            <w:r>
              <w:rPr>
                <w:szCs w:val="24"/>
                <w:lang w:eastAsia="zh-CN" w:bidi="lo-LA"/>
              </w:rPr>
              <w:t>1,90</w:t>
            </w:r>
          </w:p>
        </w:tc>
        <w:tc>
          <w:tcPr>
            <w:tcW w:w="848" w:type="pct"/>
            <w:tcBorders>
              <w:top w:val="single" w:sz="4" w:space="0" w:color="000000"/>
              <w:left w:val="single" w:sz="4" w:space="0" w:color="000000"/>
              <w:bottom w:val="single" w:sz="4" w:space="0" w:color="000000"/>
            </w:tcBorders>
            <w:shd w:val="clear" w:color="auto" w:fill="auto"/>
          </w:tcPr>
          <w:p w14:paraId="3C0E6F30" w14:textId="77777777" w:rsidR="0092284C" w:rsidRDefault="0092284C">
            <w:pPr>
              <w:suppressAutoHyphens/>
              <w:snapToGrid w:val="0"/>
              <w:spacing w:line="252" w:lineRule="auto"/>
              <w:jc w:val="center"/>
              <w:rPr>
                <w:szCs w:val="24"/>
                <w:lang w:eastAsia="zh-CN" w:bidi="lo-LA"/>
              </w:rPr>
            </w:pPr>
          </w:p>
          <w:p w14:paraId="10CC5A75" w14:textId="77777777" w:rsidR="0092284C" w:rsidRDefault="00465858">
            <w:pPr>
              <w:suppressAutoHyphens/>
              <w:spacing w:line="252" w:lineRule="auto"/>
              <w:jc w:val="center"/>
              <w:rPr>
                <w:szCs w:val="24"/>
                <w:lang w:eastAsia="zh-CN"/>
              </w:rPr>
            </w:pPr>
            <w:r>
              <w:rPr>
                <w:szCs w:val="24"/>
                <w:lang w:eastAsia="zh-CN" w:bidi="lo-LA"/>
              </w:rPr>
              <w:t>0,60</w:t>
            </w:r>
          </w:p>
        </w:tc>
        <w:tc>
          <w:tcPr>
            <w:tcW w:w="830" w:type="pct"/>
            <w:tcBorders>
              <w:top w:val="single" w:sz="4" w:space="0" w:color="000000"/>
              <w:left w:val="single" w:sz="4" w:space="0" w:color="000000"/>
              <w:bottom w:val="single" w:sz="4" w:space="0" w:color="000000"/>
            </w:tcBorders>
            <w:shd w:val="clear" w:color="auto" w:fill="auto"/>
          </w:tcPr>
          <w:p w14:paraId="0AB70210" w14:textId="77777777" w:rsidR="0092284C" w:rsidRDefault="00465858">
            <w:pPr>
              <w:suppressAutoHyphens/>
              <w:spacing w:line="252" w:lineRule="auto"/>
              <w:jc w:val="center"/>
              <w:rPr>
                <w:szCs w:val="24"/>
                <w:lang w:eastAsia="zh-CN"/>
              </w:rPr>
            </w:pPr>
            <w:r>
              <w:rPr>
                <w:szCs w:val="24"/>
                <w:lang w:eastAsia="zh-CN" w:bidi="lo-LA"/>
              </w:rPr>
              <w:t>-</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14:paraId="29D6E533" w14:textId="77777777" w:rsidR="0092284C" w:rsidRDefault="0092284C">
            <w:pPr>
              <w:suppressAutoHyphens/>
              <w:snapToGrid w:val="0"/>
              <w:spacing w:line="252" w:lineRule="auto"/>
              <w:jc w:val="center"/>
              <w:rPr>
                <w:szCs w:val="24"/>
                <w:lang w:eastAsia="zh-CN" w:bidi="lo-LA"/>
              </w:rPr>
            </w:pPr>
          </w:p>
          <w:p w14:paraId="342390A6" w14:textId="77777777" w:rsidR="0092284C" w:rsidRDefault="00465858">
            <w:pPr>
              <w:suppressAutoHyphens/>
              <w:spacing w:line="252" w:lineRule="auto"/>
              <w:jc w:val="center"/>
              <w:rPr>
                <w:szCs w:val="24"/>
                <w:lang w:eastAsia="zh-CN"/>
              </w:rPr>
            </w:pPr>
            <w:r>
              <w:rPr>
                <w:szCs w:val="24"/>
                <w:lang w:eastAsia="zh-CN"/>
              </w:rPr>
              <w:t>3,10</w:t>
            </w:r>
          </w:p>
        </w:tc>
      </w:tr>
      <w:tr w:rsidR="0092284C" w14:paraId="65912BEB" w14:textId="77777777">
        <w:tc>
          <w:tcPr>
            <w:tcW w:w="1408" w:type="pct"/>
            <w:tcBorders>
              <w:top w:val="single" w:sz="4" w:space="0" w:color="000000"/>
              <w:left w:val="single" w:sz="4" w:space="0" w:color="000000"/>
              <w:bottom w:val="single" w:sz="4" w:space="0" w:color="000000"/>
            </w:tcBorders>
            <w:shd w:val="clear" w:color="auto" w:fill="auto"/>
          </w:tcPr>
          <w:p w14:paraId="2EAE0C82" w14:textId="77777777" w:rsidR="0092284C" w:rsidRDefault="00465858">
            <w:pPr>
              <w:suppressAutoHyphens/>
              <w:spacing w:line="252" w:lineRule="auto"/>
              <w:jc w:val="center"/>
              <w:rPr>
                <w:szCs w:val="24"/>
                <w:lang w:eastAsia="zh-CN"/>
              </w:rPr>
            </w:pPr>
            <w:r>
              <w:rPr>
                <w:szCs w:val="24"/>
                <w:lang w:eastAsia="zh-CN" w:bidi="lo-LA"/>
              </w:rPr>
              <w:t>Priešmokyklinio ugdymo grupės</w:t>
            </w:r>
          </w:p>
          <w:p w14:paraId="6622A54D" w14:textId="77777777" w:rsidR="0092284C" w:rsidRDefault="0092284C">
            <w:pPr>
              <w:suppressAutoHyphens/>
              <w:spacing w:line="252" w:lineRule="auto"/>
              <w:jc w:val="center"/>
              <w:rPr>
                <w:szCs w:val="24"/>
                <w:lang w:eastAsia="zh-CN"/>
              </w:rPr>
            </w:pPr>
          </w:p>
        </w:tc>
        <w:tc>
          <w:tcPr>
            <w:tcW w:w="764" w:type="pct"/>
            <w:tcBorders>
              <w:top w:val="single" w:sz="4" w:space="0" w:color="000000"/>
              <w:left w:val="single" w:sz="4" w:space="0" w:color="000000"/>
              <w:bottom w:val="single" w:sz="4" w:space="0" w:color="000000"/>
            </w:tcBorders>
            <w:shd w:val="clear" w:color="auto" w:fill="auto"/>
          </w:tcPr>
          <w:p w14:paraId="5A2C5F27" w14:textId="77777777" w:rsidR="0092284C" w:rsidRDefault="0092284C">
            <w:pPr>
              <w:suppressAutoHyphens/>
              <w:spacing w:line="252" w:lineRule="auto"/>
              <w:jc w:val="center"/>
              <w:rPr>
                <w:szCs w:val="24"/>
                <w:lang w:eastAsia="zh-CN" w:bidi="lo-LA"/>
              </w:rPr>
            </w:pPr>
          </w:p>
          <w:p w14:paraId="734B2F62" w14:textId="77777777" w:rsidR="0092284C" w:rsidRDefault="00465858">
            <w:pPr>
              <w:suppressAutoHyphens/>
              <w:spacing w:line="252" w:lineRule="auto"/>
              <w:jc w:val="center"/>
              <w:rPr>
                <w:szCs w:val="24"/>
                <w:lang w:eastAsia="zh-CN"/>
              </w:rPr>
            </w:pPr>
            <w:r>
              <w:rPr>
                <w:szCs w:val="24"/>
                <w:lang w:eastAsia="zh-CN" w:bidi="lo-LA"/>
              </w:rPr>
              <w:t>0,60</w:t>
            </w:r>
          </w:p>
        </w:tc>
        <w:tc>
          <w:tcPr>
            <w:tcW w:w="606" w:type="pct"/>
            <w:tcBorders>
              <w:top w:val="single" w:sz="4" w:space="0" w:color="000000"/>
              <w:left w:val="single" w:sz="4" w:space="0" w:color="000000"/>
              <w:bottom w:val="single" w:sz="4" w:space="0" w:color="000000"/>
            </w:tcBorders>
            <w:shd w:val="clear" w:color="auto" w:fill="auto"/>
          </w:tcPr>
          <w:p w14:paraId="2665C91A" w14:textId="77777777" w:rsidR="0092284C" w:rsidRDefault="0092284C">
            <w:pPr>
              <w:suppressAutoHyphens/>
              <w:snapToGrid w:val="0"/>
              <w:spacing w:line="252" w:lineRule="auto"/>
              <w:jc w:val="center"/>
              <w:rPr>
                <w:b/>
                <w:szCs w:val="24"/>
                <w:lang w:eastAsia="zh-CN" w:bidi="lo-LA"/>
              </w:rPr>
            </w:pPr>
          </w:p>
          <w:p w14:paraId="29E09FB9" w14:textId="77777777" w:rsidR="0092284C" w:rsidRDefault="00465858">
            <w:pPr>
              <w:suppressAutoHyphens/>
              <w:snapToGrid w:val="0"/>
              <w:spacing w:line="252" w:lineRule="auto"/>
              <w:jc w:val="center"/>
              <w:rPr>
                <w:szCs w:val="24"/>
                <w:lang w:eastAsia="zh-CN"/>
              </w:rPr>
            </w:pPr>
            <w:r>
              <w:rPr>
                <w:b/>
                <w:szCs w:val="24"/>
                <w:lang w:eastAsia="zh-CN" w:bidi="lo-LA"/>
              </w:rPr>
              <w:t>*</w:t>
            </w:r>
          </w:p>
        </w:tc>
        <w:tc>
          <w:tcPr>
            <w:tcW w:w="848" w:type="pct"/>
            <w:tcBorders>
              <w:top w:val="single" w:sz="4" w:space="0" w:color="000000"/>
              <w:left w:val="single" w:sz="4" w:space="0" w:color="000000"/>
              <w:bottom w:val="single" w:sz="4" w:space="0" w:color="000000"/>
            </w:tcBorders>
            <w:shd w:val="clear" w:color="auto" w:fill="auto"/>
          </w:tcPr>
          <w:p w14:paraId="295C354E" w14:textId="77777777" w:rsidR="0092284C" w:rsidRDefault="0092284C">
            <w:pPr>
              <w:suppressAutoHyphens/>
              <w:spacing w:line="252" w:lineRule="auto"/>
              <w:jc w:val="center"/>
              <w:rPr>
                <w:szCs w:val="24"/>
                <w:lang w:eastAsia="zh-CN" w:bidi="lo-LA"/>
              </w:rPr>
            </w:pPr>
          </w:p>
          <w:p w14:paraId="5175B48C" w14:textId="77777777" w:rsidR="0092284C" w:rsidRDefault="00465858">
            <w:pPr>
              <w:suppressAutoHyphens/>
              <w:spacing w:line="252" w:lineRule="auto"/>
              <w:jc w:val="center"/>
              <w:rPr>
                <w:szCs w:val="24"/>
                <w:lang w:eastAsia="zh-CN"/>
              </w:rPr>
            </w:pPr>
            <w:r>
              <w:rPr>
                <w:szCs w:val="24"/>
                <w:lang w:eastAsia="zh-CN" w:bidi="lo-LA"/>
              </w:rPr>
              <w:t>0,60</w:t>
            </w:r>
          </w:p>
        </w:tc>
        <w:tc>
          <w:tcPr>
            <w:tcW w:w="830" w:type="pct"/>
            <w:tcBorders>
              <w:top w:val="single" w:sz="4" w:space="0" w:color="000000"/>
              <w:left w:val="single" w:sz="4" w:space="0" w:color="000000"/>
              <w:bottom w:val="single" w:sz="4" w:space="0" w:color="000000"/>
            </w:tcBorders>
            <w:shd w:val="clear" w:color="auto" w:fill="auto"/>
          </w:tcPr>
          <w:p w14:paraId="2B9C3614" w14:textId="77777777" w:rsidR="0092284C" w:rsidRDefault="0092284C">
            <w:pPr>
              <w:suppressAutoHyphens/>
              <w:spacing w:line="252" w:lineRule="auto"/>
              <w:jc w:val="center"/>
              <w:rPr>
                <w:szCs w:val="24"/>
                <w:lang w:eastAsia="zh-CN" w:bidi="lo-LA"/>
              </w:rPr>
            </w:pPr>
          </w:p>
          <w:p w14:paraId="22D3613A" w14:textId="77777777" w:rsidR="0092284C" w:rsidRDefault="00465858">
            <w:pPr>
              <w:suppressAutoHyphens/>
              <w:spacing w:line="252" w:lineRule="auto"/>
              <w:jc w:val="center"/>
              <w:rPr>
                <w:szCs w:val="24"/>
                <w:lang w:eastAsia="zh-CN"/>
              </w:rPr>
            </w:pPr>
            <w:r>
              <w:rPr>
                <w:szCs w:val="24"/>
                <w:lang w:eastAsia="zh-CN" w:bidi="lo-LA"/>
              </w:rPr>
              <w:t>-</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14:paraId="2245BE3F" w14:textId="77777777" w:rsidR="0092284C" w:rsidRDefault="0092284C">
            <w:pPr>
              <w:suppressAutoHyphens/>
              <w:spacing w:line="252" w:lineRule="auto"/>
              <w:jc w:val="center"/>
              <w:rPr>
                <w:szCs w:val="24"/>
                <w:lang w:eastAsia="zh-CN" w:bidi="lo-LA"/>
              </w:rPr>
            </w:pPr>
          </w:p>
          <w:p w14:paraId="68A037FF" w14:textId="77777777" w:rsidR="0092284C" w:rsidRDefault="00465858">
            <w:pPr>
              <w:suppressAutoHyphens/>
              <w:spacing w:line="252" w:lineRule="auto"/>
              <w:jc w:val="center"/>
              <w:rPr>
                <w:szCs w:val="24"/>
                <w:lang w:eastAsia="zh-CN"/>
              </w:rPr>
            </w:pPr>
            <w:r>
              <w:rPr>
                <w:szCs w:val="24"/>
                <w:lang w:eastAsia="zh-CN" w:bidi="lo-LA"/>
              </w:rPr>
              <w:t>1,20</w:t>
            </w:r>
          </w:p>
        </w:tc>
      </w:tr>
      <w:tr w:rsidR="0092284C" w14:paraId="2DE4401E" w14:textId="77777777">
        <w:tc>
          <w:tcPr>
            <w:tcW w:w="1408" w:type="pct"/>
            <w:tcBorders>
              <w:top w:val="single" w:sz="4" w:space="0" w:color="000000"/>
              <w:left w:val="single" w:sz="4" w:space="0" w:color="000000"/>
              <w:bottom w:val="single" w:sz="4" w:space="0" w:color="000000"/>
            </w:tcBorders>
            <w:shd w:val="clear" w:color="auto" w:fill="auto"/>
          </w:tcPr>
          <w:p w14:paraId="0D4EC0FF" w14:textId="77777777" w:rsidR="0092284C" w:rsidRDefault="00465858">
            <w:pPr>
              <w:suppressAutoHyphens/>
              <w:spacing w:line="252" w:lineRule="auto"/>
              <w:jc w:val="center"/>
              <w:rPr>
                <w:szCs w:val="24"/>
                <w:lang w:eastAsia="zh-CN"/>
              </w:rPr>
            </w:pPr>
            <w:r>
              <w:rPr>
                <w:szCs w:val="24"/>
                <w:lang w:eastAsia="zh-CN" w:bidi="lo-LA"/>
              </w:rPr>
              <w:lastRenderedPageBreak/>
              <w:t>Savaitinė grupė</w:t>
            </w:r>
          </w:p>
        </w:tc>
        <w:tc>
          <w:tcPr>
            <w:tcW w:w="764" w:type="pct"/>
            <w:tcBorders>
              <w:top w:val="single" w:sz="4" w:space="0" w:color="000000"/>
              <w:left w:val="single" w:sz="4" w:space="0" w:color="000000"/>
              <w:bottom w:val="single" w:sz="4" w:space="0" w:color="000000"/>
            </w:tcBorders>
            <w:shd w:val="clear" w:color="auto" w:fill="auto"/>
          </w:tcPr>
          <w:p w14:paraId="214EBC52" w14:textId="77777777" w:rsidR="0092284C" w:rsidRDefault="00465858">
            <w:pPr>
              <w:suppressAutoHyphens/>
              <w:spacing w:line="252" w:lineRule="auto"/>
              <w:jc w:val="center"/>
              <w:rPr>
                <w:szCs w:val="24"/>
                <w:lang w:eastAsia="zh-CN"/>
              </w:rPr>
            </w:pPr>
            <w:r>
              <w:rPr>
                <w:szCs w:val="24"/>
                <w:lang w:eastAsia="zh-CN" w:bidi="lo-LA"/>
              </w:rPr>
              <w:t>0,60</w:t>
            </w:r>
          </w:p>
        </w:tc>
        <w:tc>
          <w:tcPr>
            <w:tcW w:w="606" w:type="pct"/>
            <w:tcBorders>
              <w:top w:val="single" w:sz="4" w:space="0" w:color="000000"/>
              <w:left w:val="single" w:sz="4" w:space="0" w:color="000000"/>
              <w:bottom w:val="single" w:sz="4" w:space="0" w:color="000000"/>
            </w:tcBorders>
            <w:shd w:val="clear" w:color="auto" w:fill="auto"/>
          </w:tcPr>
          <w:p w14:paraId="649B6CC7" w14:textId="77777777" w:rsidR="0092284C" w:rsidRDefault="00465858">
            <w:pPr>
              <w:suppressAutoHyphens/>
              <w:spacing w:line="252" w:lineRule="auto"/>
              <w:jc w:val="center"/>
              <w:rPr>
                <w:szCs w:val="24"/>
                <w:lang w:eastAsia="zh-CN"/>
              </w:rPr>
            </w:pPr>
            <w:r>
              <w:rPr>
                <w:szCs w:val="24"/>
                <w:lang w:eastAsia="zh-CN" w:bidi="lo-LA"/>
              </w:rPr>
              <w:t>1,90</w:t>
            </w:r>
          </w:p>
        </w:tc>
        <w:tc>
          <w:tcPr>
            <w:tcW w:w="848" w:type="pct"/>
            <w:tcBorders>
              <w:top w:val="single" w:sz="4" w:space="0" w:color="000000"/>
              <w:left w:val="single" w:sz="4" w:space="0" w:color="000000"/>
              <w:bottom w:val="single" w:sz="4" w:space="0" w:color="000000"/>
            </w:tcBorders>
            <w:shd w:val="clear" w:color="auto" w:fill="auto"/>
          </w:tcPr>
          <w:p w14:paraId="39A90A13" w14:textId="77777777" w:rsidR="0092284C" w:rsidRDefault="00465858">
            <w:pPr>
              <w:suppressAutoHyphens/>
              <w:spacing w:line="252" w:lineRule="auto"/>
              <w:jc w:val="center"/>
              <w:rPr>
                <w:szCs w:val="24"/>
                <w:lang w:eastAsia="zh-CN"/>
              </w:rPr>
            </w:pPr>
            <w:r>
              <w:rPr>
                <w:szCs w:val="24"/>
                <w:lang w:eastAsia="zh-CN" w:bidi="lo-LA"/>
              </w:rPr>
              <w:t>0,60</w:t>
            </w:r>
          </w:p>
        </w:tc>
        <w:tc>
          <w:tcPr>
            <w:tcW w:w="830" w:type="pct"/>
            <w:tcBorders>
              <w:top w:val="single" w:sz="4" w:space="0" w:color="000000"/>
              <w:left w:val="single" w:sz="4" w:space="0" w:color="000000"/>
              <w:bottom w:val="single" w:sz="4" w:space="0" w:color="000000"/>
            </w:tcBorders>
            <w:shd w:val="clear" w:color="auto" w:fill="auto"/>
          </w:tcPr>
          <w:p w14:paraId="24F45771" w14:textId="77777777" w:rsidR="0092284C" w:rsidRDefault="00465858">
            <w:pPr>
              <w:suppressAutoHyphens/>
              <w:spacing w:line="252" w:lineRule="auto"/>
              <w:jc w:val="center"/>
              <w:rPr>
                <w:szCs w:val="24"/>
                <w:lang w:eastAsia="zh-CN"/>
              </w:rPr>
            </w:pPr>
            <w:r>
              <w:rPr>
                <w:szCs w:val="24"/>
                <w:lang w:eastAsia="zh-CN" w:bidi="lo-LA"/>
              </w:rPr>
              <w:t>0,60</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14:paraId="4CCB4A0A" w14:textId="77777777" w:rsidR="0092284C" w:rsidRDefault="00465858">
            <w:pPr>
              <w:suppressAutoHyphens/>
              <w:spacing w:line="252" w:lineRule="auto"/>
              <w:jc w:val="center"/>
              <w:rPr>
                <w:szCs w:val="24"/>
                <w:lang w:eastAsia="zh-CN"/>
              </w:rPr>
            </w:pPr>
            <w:r>
              <w:rPr>
                <w:szCs w:val="24"/>
                <w:lang w:eastAsia="zh-CN"/>
              </w:rPr>
              <w:t>3,70</w:t>
            </w:r>
          </w:p>
        </w:tc>
      </w:tr>
    </w:tbl>
    <w:p w14:paraId="287C9A9D" w14:textId="77777777" w:rsidR="0092284C" w:rsidRDefault="0092284C">
      <w:pPr>
        <w:suppressAutoHyphens/>
        <w:ind w:firstLine="709"/>
        <w:jc w:val="both"/>
        <w:rPr>
          <w:szCs w:val="24"/>
          <w:lang w:eastAsia="zh-CN"/>
        </w:rPr>
      </w:pPr>
    </w:p>
    <w:p w14:paraId="4F443919" w14:textId="77777777" w:rsidR="0092284C" w:rsidRDefault="00465858">
      <w:pPr>
        <w:suppressAutoHyphens/>
        <w:ind w:firstLine="709"/>
        <w:jc w:val="both"/>
        <w:rPr>
          <w:szCs w:val="24"/>
          <w:lang w:eastAsia="zh-CN"/>
        </w:rPr>
      </w:pPr>
      <w:r>
        <w:rPr>
          <w:szCs w:val="24"/>
          <w:lang w:eastAsia="zh-CN"/>
        </w:rPr>
        <w:t>*–</w:t>
      </w:r>
      <w:r>
        <w:rPr>
          <w:szCs w:val="24"/>
          <w:lang w:eastAsia="lt-LT"/>
        </w:rPr>
        <w:t xml:space="preserve"> kurie mokosi pagal priešmokyklinio ugdymo programą turi teisę į nemokamus pietus, nevertinant gaunamų pajamų.</w:t>
      </w:r>
      <w:r>
        <w:rPr>
          <w:szCs w:val="24"/>
          <w:lang w:eastAsia="zh-CN"/>
        </w:rPr>
        <w:t xml:space="preserve"> Ekstremalios situacijos, ekstremaliojo įvykio ir (ar)</w:t>
      </w:r>
      <w:r>
        <w:rPr>
          <w:b/>
          <w:szCs w:val="24"/>
          <w:lang w:eastAsia="zh-CN"/>
        </w:rPr>
        <w:t xml:space="preserve"> </w:t>
      </w:r>
      <w:r>
        <w:rPr>
          <w:szCs w:val="24"/>
          <w:lang w:eastAsia="zh-CN"/>
        </w:rPr>
        <w:t xml:space="preserve">karantino metu ar kitu </w:t>
      </w:r>
      <w:r>
        <w:rPr>
          <w:i/>
          <w:szCs w:val="24"/>
          <w:lang w:eastAsia="zh-CN"/>
        </w:rPr>
        <w:t>force majeure</w:t>
      </w:r>
      <w:r>
        <w:rPr>
          <w:szCs w:val="24"/>
          <w:lang w:eastAsia="zh-CN"/>
        </w:rPr>
        <w:t xml:space="preserve"> atveju sustabdžius ugdymo organizavimo procesą įstaigoje, maitinimo paslauga neteikiama (jei tai daryti draudžia Lietuvos Respublikos Vyriausybės nutarimai, Lietuvos Respublikos sveikatos apsaugos ministro įsakymai ar Valstybės lygio ekstremaliosios situacijos valstybės operacijų vadovo sprendimai). Tokiomis aplinkybėmis nemokamą maitinimą gaunantiems vaikams užtikrinamas nemokamo maitinimo teikimas aprūpinant juos maisto produktų daviniais.</w:t>
      </w:r>
    </w:p>
    <w:p w14:paraId="074F598A" w14:textId="77777777" w:rsidR="0092284C" w:rsidRDefault="0092284C">
      <w:pPr>
        <w:suppressAutoHyphens/>
        <w:ind w:firstLine="709"/>
        <w:jc w:val="both"/>
        <w:rPr>
          <w:szCs w:val="24"/>
          <w:lang w:eastAsia="zh-CN"/>
        </w:rPr>
      </w:pPr>
    </w:p>
    <w:p w14:paraId="0A2AB45D" w14:textId="77777777" w:rsidR="0092284C" w:rsidRDefault="00465858">
      <w:pPr>
        <w:rPr>
          <w:rFonts w:eastAsia="MS Mincho"/>
          <w:i/>
          <w:iCs/>
          <w:sz w:val="20"/>
        </w:rPr>
      </w:pPr>
      <w:r>
        <w:rPr>
          <w:rFonts w:eastAsia="MS Mincho"/>
          <w:i/>
          <w:iCs/>
          <w:sz w:val="20"/>
        </w:rPr>
        <w:t>Punkto pakeitimai:</w:t>
      </w:r>
    </w:p>
    <w:p w14:paraId="2356143A" w14:textId="77777777" w:rsidR="0092284C" w:rsidRDefault="00465858">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T-261</w:t>
        </w:r>
      </w:hyperlink>
      <w:r>
        <w:rPr>
          <w:rFonts w:eastAsia="MS Mincho"/>
          <w:i/>
          <w:iCs/>
          <w:sz w:val="20"/>
        </w:rPr>
        <w:t>, 2020-12-04, paskelbta TAR 2020-12-08, i. k. 2020-26491</w:t>
      </w:r>
    </w:p>
    <w:p w14:paraId="3852B0A4" w14:textId="77777777" w:rsidR="0092284C" w:rsidRDefault="00465858">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T-185</w:t>
        </w:r>
      </w:hyperlink>
      <w:r>
        <w:rPr>
          <w:rFonts w:eastAsia="MS Mincho"/>
          <w:i/>
          <w:iCs/>
          <w:sz w:val="20"/>
        </w:rPr>
        <w:t>, 2022-08-26, paskelbta TAR 2022-08-26, i. k. 2022-17595</w:t>
      </w:r>
    </w:p>
    <w:p w14:paraId="574F4690" w14:textId="77777777" w:rsidR="0092284C" w:rsidRDefault="0092284C"/>
    <w:p w14:paraId="1752EAFD" w14:textId="77777777" w:rsidR="0092284C" w:rsidRDefault="00465858">
      <w:pPr>
        <w:suppressAutoHyphens/>
        <w:spacing w:line="276" w:lineRule="auto"/>
        <w:ind w:firstLine="709"/>
        <w:jc w:val="both"/>
        <w:rPr>
          <w:szCs w:val="24"/>
          <w:lang w:eastAsia="zh-CN"/>
        </w:rPr>
      </w:pPr>
      <w:r>
        <w:rPr>
          <w:szCs w:val="24"/>
          <w:lang w:eastAsia="zh-CN"/>
        </w:rPr>
        <w:t xml:space="preserve">7. Vaikų, ugdomų pagal ikimokyklinio ir priešmokyklinio ugdymo programas, tėvai (globėjai, rūpintojai) moka 0,50 Eur mokestį už ugdymo sąlygų, edukacinių aplinkų gerinimą ir už priemones, skirtas vaikų kompetencijoms ugdyti, už kiekvieną vaiko lankytą ir nelankytą dieną. Šio atlyginimo dydis nepriklauso nuo to, kiek valandų per dieną vaikas praleidžia įstaigoje. Mokestis netaikomas paskelbtos ekstremalios situacijos, ekstremaliojo įvykio ir (ar) karantino metu ar kitu </w:t>
      </w:r>
      <w:r>
        <w:rPr>
          <w:i/>
          <w:szCs w:val="24"/>
          <w:lang w:eastAsia="zh-CN"/>
        </w:rPr>
        <w:t>force majeure</w:t>
      </w:r>
      <w:r>
        <w:rPr>
          <w:szCs w:val="24"/>
          <w:lang w:eastAsia="zh-CN"/>
        </w:rPr>
        <w:t xml:space="preserve"> atveju, kai sustabdomas ugdymo organizavimo procesas grupėje arba visoje įstaigoje.</w:t>
      </w:r>
      <w:r>
        <w:t xml:space="preserve"> </w:t>
      </w:r>
    </w:p>
    <w:p w14:paraId="630DBC3B" w14:textId="77777777" w:rsidR="0092284C" w:rsidRDefault="00465858">
      <w:pPr>
        <w:rPr>
          <w:rFonts w:eastAsia="MS Mincho"/>
          <w:i/>
          <w:iCs/>
          <w:sz w:val="20"/>
        </w:rPr>
      </w:pPr>
      <w:r>
        <w:rPr>
          <w:rFonts w:eastAsia="MS Mincho"/>
          <w:i/>
          <w:iCs/>
          <w:sz w:val="20"/>
        </w:rPr>
        <w:t>Punkto pakeitimai:</w:t>
      </w:r>
    </w:p>
    <w:p w14:paraId="20FB18D9" w14:textId="77777777" w:rsidR="0092284C" w:rsidRDefault="00465858">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T-261</w:t>
        </w:r>
      </w:hyperlink>
      <w:r>
        <w:rPr>
          <w:rFonts w:eastAsia="MS Mincho"/>
          <w:i/>
          <w:iCs/>
          <w:sz w:val="20"/>
        </w:rPr>
        <w:t>, 2020-12-04, paskelbta TAR 2020-12-08, i. k. 2020-26491</w:t>
      </w:r>
    </w:p>
    <w:p w14:paraId="5BF50882" w14:textId="77777777" w:rsidR="0092284C" w:rsidRDefault="0092284C"/>
    <w:p w14:paraId="62544E99" w14:textId="77777777" w:rsidR="0092284C" w:rsidRDefault="00465858">
      <w:pPr>
        <w:suppressAutoHyphens/>
        <w:jc w:val="center"/>
        <w:rPr>
          <w:szCs w:val="24"/>
          <w:lang w:eastAsia="zh-CN"/>
        </w:rPr>
      </w:pPr>
      <w:r>
        <w:rPr>
          <w:b/>
          <w:bCs/>
          <w:szCs w:val="24"/>
          <w:lang w:eastAsia="zh-CN"/>
        </w:rPr>
        <w:t>III SKYRIUS</w:t>
      </w:r>
    </w:p>
    <w:p w14:paraId="57582896" w14:textId="77777777" w:rsidR="0092284C" w:rsidRDefault="00465858">
      <w:pPr>
        <w:suppressAutoHyphens/>
        <w:jc w:val="center"/>
        <w:rPr>
          <w:szCs w:val="24"/>
          <w:lang w:eastAsia="zh-CN"/>
        </w:rPr>
      </w:pPr>
      <w:r>
        <w:rPr>
          <w:b/>
          <w:bCs/>
          <w:szCs w:val="24"/>
          <w:lang w:eastAsia="zh-CN"/>
        </w:rPr>
        <w:t>ATLYGINIMO UŽ VAIKŲ IŠLAIKYMĄ LENGVATŲ TAIKYMAS IR TAM BŪTINŲ DOKUMENTŲ PATEIKIMAS</w:t>
      </w:r>
    </w:p>
    <w:p w14:paraId="6C19D6A2" w14:textId="77777777" w:rsidR="0092284C" w:rsidRDefault="0092284C">
      <w:pPr>
        <w:suppressAutoHyphens/>
        <w:jc w:val="both"/>
        <w:rPr>
          <w:b/>
          <w:bCs/>
          <w:szCs w:val="24"/>
          <w:lang w:eastAsia="zh-CN"/>
        </w:rPr>
      </w:pPr>
    </w:p>
    <w:p w14:paraId="364C0461" w14:textId="77777777" w:rsidR="0092284C" w:rsidRDefault="00465858">
      <w:pPr>
        <w:suppressAutoHyphens/>
        <w:ind w:firstLine="709"/>
        <w:jc w:val="both"/>
        <w:rPr>
          <w:szCs w:val="24"/>
          <w:lang w:eastAsia="zh-CN"/>
        </w:rPr>
      </w:pPr>
      <w:r>
        <w:rPr>
          <w:bCs/>
          <w:szCs w:val="24"/>
          <w:lang w:eastAsia="zh-CN"/>
        </w:rPr>
        <w:t>8.</w:t>
      </w:r>
      <w:r>
        <w:rPr>
          <w:b/>
          <w:bCs/>
          <w:szCs w:val="24"/>
          <w:lang w:eastAsia="zh-CN"/>
        </w:rPr>
        <w:t xml:space="preserve"> </w:t>
      </w:r>
      <w:r>
        <w:rPr>
          <w:bCs/>
          <w:szCs w:val="24"/>
          <w:lang w:eastAsia="zh-CN"/>
        </w:rPr>
        <w:t xml:space="preserve">Atlyginimo už vaikų maitinimą </w:t>
      </w:r>
      <w:r>
        <w:rPr>
          <w:szCs w:val="24"/>
          <w:lang w:eastAsia="zh-CN"/>
        </w:rPr>
        <w:t>įstaigose nemoka tėvai (globėjai,</w:t>
      </w:r>
      <w:r>
        <w:rPr>
          <w:bCs/>
          <w:szCs w:val="24"/>
          <w:lang w:eastAsia="zh-CN"/>
        </w:rPr>
        <w:t xml:space="preserve"> rūpintojai</w:t>
      </w:r>
      <w:r>
        <w:rPr>
          <w:szCs w:val="24"/>
          <w:lang w:eastAsia="zh-CN"/>
        </w:rPr>
        <w:t xml:space="preserve">): </w:t>
      </w:r>
    </w:p>
    <w:p w14:paraId="1D50DD13" w14:textId="77777777" w:rsidR="0092284C" w:rsidRDefault="00465858">
      <w:pPr>
        <w:suppressAutoHyphens/>
        <w:ind w:firstLine="709"/>
        <w:jc w:val="both"/>
        <w:rPr>
          <w:szCs w:val="24"/>
          <w:lang w:eastAsia="zh-CN"/>
        </w:rPr>
      </w:pPr>
      <w:r>
        <w:rPr>
          <w:szCs w:val="24"/>
          <w:lang w:eastAsia="zh-CN"/>
        </w:rPr>
        <w:t>8.1. jei vaiko šeima gauna socialinę pašalpą,</w:t>
      </w:r>
      <w:r>
        <w:rPr>
          <w:b/>
          <w:bCs/>
          <w:szCs w:val="24"/>
          <w:lang w:eastAsia="zh-CN"/>
        </w:rPr>
        <w:t xml:space="preserve"> </w:t>
      </w:r>
      <w:r>
        <w:rPr>
          <w:szCs w:val="24"/>
          <w:lang w:eastAsia="zh-CN"/>
        </w:rPr>
        <w:t>pateikus iš Savivaldybės administracijos Socialinės paramos skyriaus įrodančius dokumentus;</w:t>
      </w:r>
    </w:p>
    <w:p w14:paraId="423DE197" w14:textId="77777777" w:rsidR="0092284C" w:rsidRDefault="00465858">
      <w:pPr>
        <w:suppressAutoHyphens/>
        <w:ind w:firstLine="709"/>
        <w:jc w:val="both"/>
        <w:rPr>
          <w:szCs w:val="24"/>
          <w:lang w:eastAsia="zh-CN"/>
        </w:rPr>
      </w:pPr>
      <w:r>
        <w:rPr>
          <w:szCs w:val="24"/>
          <w:lang w:eastAsia="zh-CN"/>
        </w:rPr>
        <w:t xml:space="preserve">8.2. jeigu vaikas nelanko įstaigos dėl ligos ir tėvai </w:t>
      </w:r>
      <w:r>
        <w:rPr>
          <w:b/>
          <w:bCs/>
          <w:szCs w:val="24"/>
          <w:lang w:eastAsia="zh-CN"/>
        </w:rPr>
        <w:t>(</w:t>
      </w:r>
      <w:r>
        <w:rPr>
          <w:bCs/>
          <w:szCs w:val="24"/>
          <w:lang w:eastAsia="zh-CN"/>
        </w:rPr>
        <w:t>globėjai, rūpintojai):</w:t>
      </w:r>
    </w:p>
    <w:p w14:paraId="5B0446D4" w14:textId="77777777" w:rsidR="0092284C" w:rsidRDefault="00465858">
      <w:pPr>
        <w:suppressAutoHyphens/>
        <w:ind w:firstLine="709"/>
        <w:jc w:val="both"/>
        <w:rPr>
          <w:szCs w:val="24"/>
          <w:lang w:eastAsia="zh-CN"/>
        </w:rPr>
      </w:pPr>
      <w:r>
        <w:rPr>
          <w:szCs w:val="24"/>
          <w:lang w:eastAsia="zh-CN"/>
        </w:rPr>
        <w:t>8.2.1. ne vėliau kaip pirmą vaiko neatvykimo dieną iki 8.30 val. praneša grupės mokytojui ar įstaigos direktoriui apie vaiko neatvykimą, o paskutinę ligos dieną informuoja apie atvykimą į įstaigą kitą darbo dieną;</w:t>
      </w:r>
    </w:p>
    <w:p w14:paraId="4E1E1F36" w14:textId="77777777" w:rsidR="0092284C" w:rsidRDefault="00465858">
      <w:pPr>
        <w:suppressAutoHyphens/>
        <w:ind w:firstLine="709"/>
        <w:jc w:val="both"/>
        <w:rPr>
          <w:szCs w:val="24"/>
          <w:lang w:eastAsia="zh-CN"/>
        </w:rPr>
      </w:pPr>
      <w:r>
        <w:rPr>
          <w:szCs w:val="24"/>
          <w:lang w:eastAsia="zh-CN"/>
        </w:rPr>
        <w:t>8.2.2. pirmą dieną po ligos atvedę vaiką į švietimo įstaigą pateikia informaciją raštu, kad vaikas sirgo, nurodydami neatvykimo pradžios ir pabaigos datas;</w:t>
      </w:r>
    </w:p>
    <w:p w14:paraId="74A03F8B" w14:textId="77777777" w:rsidR="0092284C" w:rsidRDefault="00465858">
      <w:pPr>
        <w:tabs>
          <w:tab w:val="left" w:pos="0"/>
          <w:tab w:val="left" w:pos="1276"/>
          <w:tab w:val="left" w:pos="1560"/>
        </w:tabs>
        <w:suppressAutoHyphens/>
        <w:ind w:firstLine="709"/>
        <w:jc w:val="both"/>
        <w:rPr>
          <w:szCs w:val="24"/>
          <w:lang w:eastAsia="zh-CN"/>
        </w:rPr>
      </w:pPr>
      <w:r>
        <w:rPr>
          <w:szCs w:val="24"/>
          <w:lang w:eastAsia="zh-CN"/>
        </w:rPr>
        <w:t>8.3. tėvų (globėjų, rūpintojų) atostogų (kasmetinių, nemokamų, priverstinių ir kt.) laikotarpiu, prastovų metu, pateikus pažymą iš darbovietės;</w:t>
      </w:r>
    </w:p>
    <w:p w14:paraId="42B2AB09" w14:textId="77777777" w:rsidR="0092284C" w:rsidRDefault="00465858">
      <w:pPr>
        <w:suppressAutoHyphens/>
        <w:ind w:firstLine="709"/>
        <w:jc w:val="both"/>
        <w:rPr>
          <w:szCs w:val="24"/>
          <w:lang w:eastAsia="zh-CN"/>
        </w:rPr>
      </w:pPr>
      <w:r>
        <w:rPr>
          <w:szCs w:val="24"/>
          <w:lang w:eastAsia="zh-CN"/>
        </w:rPr>
        <w:t>8.4. motinos (įmotės, globėjos) nėštumo, gimdymo arba tėvų (įtėvių, globėjų, rūpintojų), senelės, senelio vaiko priežiūros atostogų metu ne ilgiau kaip 2 mėnesius (nepertraukiamu laikotarpiu), pateikus prašymą, gydymo įstaigos pažymą, darbovietės pažymą apie suteiktas vaiko priežiūros atostogas;</w:t>
      </w:r>
    </w:p>
    <w:p w14:paraId="5B5855B4" w14:textId="77777777" w:rsidR="0092284C" w:rsidRDefault="00465858">
      <w:pPr>
        <w:suppressAutoHyphens/>
        <w:ind w:firstLine="709"/>
        <w:jc w:val="both"/>
        <w:rPr>
          <w:szCs w:val="24"/>
          <w:lang w:eastAsia="zh-CN"/>
        </w:rPr>
      </w:pPr>
      <w:r>
        <w:rPr>
          <w:szCs w:val="24"/>
          <w:lang w:eastAsia="zh-CN"/>
        </w:rPr>
        <w:t xml:space="preserve">8.5. jeigu vienas iš tėvų (globėjų, rūpintojų) dirba pamaininį darbą, pateikus pažymą iš darbovietės apie nustatytą darbo laiką pamainomis; </w:t>
      </w:r>
    </w:p>
    <w:p w14:paraId="66DCC7A2" w14:textId="77777777" w:rsidR="0092284C" w:rsidRDefault="00465858">
      <w:pPr>
        <w:widowControl w:val="0"/>
        <w:suppressAutoHyphens/>
        <w:ind w:firstLine="709"/>
        <w:jc w:val="both"/>
        <w:rPr>
          <w:szCs w:val="24"/>
          <w:lang w:eastAsia="zh-CN"/>
        </w:rPr>
      </w:pPr>
      <w:r>
        <w:rPr>
          <w:bCs/>
          <w:szCs w:val="24"/>
          <w:lang w:eastAsia="zh-CN"/>
        </w:rPr>
        <w:t xml:space="preserve">8.6. </w:t>
      </w:r>
      <w:r>
        <w:rPr>
          <w:spacing w:val="-4"/>
          <w:szCs w:val="24"/>
          <w:lang w:eastAsia="zh-CN"/>
        </w:rPr>
        <w:t>nelaimės šeimoje atvejais (artimųjų mirtis ir pan.), pateikus prašymą ir nurodžius aplinkybes;</w:t>
      </w:r>
    </w:p>
    <w:p w14:paraId="3EE38B9C" w14:textId="77777777" w:rsidR="0092284C" w:rsidRDefault="00465858">
      <w:pPr>
        <w:suppressAutoHyphens/>
        <w:ind w:firstLine="709"/>
        <w:jc w:val="both"/>
        <w:rPr>
          <w:szCs w:val="24"/>
          <w:lang w:eastAsia="zh-CN"/>
        </w:rPr>
      </w:pPr>
      <w:r>
        <w:rPr>
          <w:bCs/>
          <w:szCs w:val="24"/>
          <w:lang w:eastAsia="zh-CN"/>
        </w:rPr>
        <w:t xml:space="preserve">8.7. </w:t>
      </w:r>
      <w:r>
        <w:rPr>
          <w:bCs/>
          <w:szCs w:val="24"/>
          <w:lang w:eastAsia="zh-CN" w:bidi="lo-LA"/>
        </w:rPr>
        <w:t>tėvų papildomos poilsio dienos metu (</w:t>
      </w:r>
      <w:proofErr w:type="spellStart"/>
      <w:r>
        <w:rPr>
          <w:bCs/>
          <w:szCs w:val="24"/>
          <w:lang w:eastAsia="zh-CN" w:bidi="lo-LA"/>
        </w:rPr>
        <w:t>mamadienio</w:t>
      </w:r>
      <w:proofErr w:type="spellEnd"/>
      <w:r>
        <w:rPr>
          <w:bCs/>
          <w:szCs w:val="24"/>
          <w:lang w:eastAsia="zh-CN" w:bidi="lo-LA"/>
        </w:rPr>
        <w:t xml:space="preserve">, </w:t>
      </w:r>
      <w:proofErr w:type="spellStart"/>
      <w:r>
        <w:rPr>
          <w:bCs/>
          <w:szCs w:val="24"/>
          <w:lang w:eastAsia="zh-CN" w:bidi="lo-LA"/>
        </w:rPr>
        <w:t>tėvadienio</w:t>
      </w:r>
      <w:proofErr w:type="spellEnd"/>
      <w:r>
        <w:rPr>
          <w:bCs/>
          <w:szCs w:val="24"/>
          <w:lang w:eastAsia="zh-CN" w:bidi="lo-LA"/>
        </w:rPr>
        <w:t>);</w:t>
      </w:r>
    </w:p>
    <w:p w14:paraId="3A6FBFE1" w14:textId="77777777" w:rsidR="0092284C" w:rsidRDefault="00465858">
      <w:pPr>
        <w:tabs>
          <w:tab w:val="left" w:pos="0"/>
          <w:tab w:val="left" w:pos="1276"/>
          <w:tab w:val="left" w:pos="1560"/>
        </w:tabs>
        <w:suppressAutoHyphens/>
        <w:ind w:firstLine="709"/>
        <w:jc w:val="both"/>
        <w:rPr>
          <w:szCs w:val="24"/>
          <w:lang w:eastAsia="zh-CN"/>
        </w:rPr>
      </w:pPr>
      <w:r>
        <w:rPr>
          <w:bCs/>
          <w:szCs w:val="24"/>
          <w:lang w:eastAsia="zh-CN"/>
        </w:rPr>
        <w:t xml:space="preserve">8.8. </w:t>
      </w:r>
      <w:r>
        <w:rPr>
          <w:szCs w:val="24"/>
          <w:lang w:eastAsia="zh-CN"/>
        </w:rPr>
        <w:t xml:space="preserve">vaiko vasaros atostogų </w:t>
      </w:r>
      <w:r>
        <w:rPr>
          <w:bCs/>
          <w:szCs w:val="24"/>
          <w:lang w:eastAsia="zh-CN"/>
        </w:rPr>
        <w:t>(birželio–rugpjūčio mėn.)</w:t>
      </w:r>
      <w:r>
        <w:rPr>
          <w:szCs w:val="24"/>
          <w:lang w:eastAsia="zh-CN"/>
        </w:rPr>
        <w:t xml:space="preserve"> pateikus </w:t>
      </w:r>
      <w:r>
        <w:rPr>
          <w:bCs/>
          <w:szCs w:val="24"/>
          <w:lang w:eastAsia="zh-CN"/>
        </w:rPr>
        <w:t>tėvų (globėjų, rūpintojų)</w:t>
      </w:r>
      <w:r>
        <w:rPr>
          <w:szCs w:val="24"/>
          <w:lang w:eastAsia="zh-CN"/>
        </w:rPr>
        <w:t xml:space="preserve"> prašymą dėl leidimo vaikui nelankyti įstaigos vieną nepertraukiamą laikotarpį;</w:t>
      </w:r>
    </w:p>
    <w:p w14:paraId="6C20FD44" w14:textId="77777777" w:rsidR="0092284C" w:rsidRDefault="00465858">
      <w:pPr>
        <w:widowControl w:val="0"/>
        <w:suppressAutoHyphens/>
        <w:ind w:firstLine="709"/>
        <w:jc w:val="both"/>
        <w:rPr>
          <w:szCs w:val="24"/>
          <w:lang w:eastAsia="zh-CN"/>
        </w:rPr>
      </w:pPr>
      <w:r>
        <w:rPr>
          <w:bCs/>
          <w:szCs w:val="24"/>
          <w:lang w:eastAsia="zh-CN"/>
        </w:rPr>
        <w:t>8.9.</w:t>
      </w:r>
      <w:r>
        <w:rPr>
          <w:b/>
          <w:bCs/>
          <w:szCs w:val="24"/>
          <w:lang w:eastAsia="zh-CN"/>
        </w:rPr>
        <w:t xml:space="preserve"> </w:t>
      </w:r>
      <w:r>
        <w:rPr>
          <w:szCs w:val="24"/>
          <w:lang w:eastAsia="zh-CN"/>
        </w:rPr>
        <w:t xml:space="preserve">kai priešmokyklinio amžiaus vaikai nelanko švietimo įstaigos mokinių atostogų </w:t>
      </w:r>
      <w:r>
        <w:rPr>
          <w:spacing w:val="-4"/>
          <w:szCs w:val="24"/>
          <w:lang w:eastAsia="zh-CN"/>
        </w:rPr>
        <w:t xml:space="preserve">metu;  </w:t>
      </w:r>
    </w:p>
    <w:p w14:paraId="48A1146F" w14:textId="77777777" w:rsidR="0092284C" w:rsidRDefault="00465858">
      <w:pPr>
        <w:tabs>
          <w:tab w:val="left" w:pos="720"/>
        </w:tabs>
        <w:suppressAutoHyphens/>
        <w:ind w:firstLine="709"/>
        <w:jc w:val="both"/>
        <w:rPr>
          <w:b/>
          <w:bCs/>
          <w:szCs w:val="24"/>
          <w:lang w:eastAsia="zh-CN"/>
        </w:rPr>
      </w:pPr>
      <w:r>
        <w:rPr>
          <w:szCs w:val="24"/>
          <w:lang w:eastAsia="zh-CN"/>
        </w:rPr>
        <w:t xml:space="preserve">8.10. jei </w:t>
      </w:r>
      <w:r>
        <w:rPr>
          <w:bCs/>
          <w:szCs w:val="24"/>
          <w:lang w:eastAsia="zh-CN"/>
        </w:rPr>
        <w:t xml:space="preserve">švietimo įstaigoje (grupėje) veikla nutraukiama dėl </w:t>
      </w:r>
      <w:r>
        <w:rPr>
          <w:szCs w:val="24"/>
          <w:lang w:eastAsia="zh-CN"/>
        </w:rPr>
        <w:t xml:space="preserve">higienos normų pažeidimo, karantino, </w:t>
      </w:r>
      <w:r>
        <w:rPr>
          <w:bCs/>
          <w:szCs w:val="24"/>
          <w:lang w:eastAsia="zh-CN"/>
        </w:rPr>
        <w:t>dėl avarinių darbų, ekstremalios situacijos, keliančios pavojų ugdytinių gyvybei ar sveikatai paskelbimo, nustačius ypatingąją epideminę situaciją dėl staigaus ir neįprastai didelio užkrečiamųjų ligų išplitimo viename ar keliuose administraciniuose teritoriniuose vienetuose ar kitų nenumatytų aplinkybių;</w:t>
      </w:r>
    </w:p>
    <w:p w14:paraId="6699D48B" w14:textId="77777777" w:rsidR="0092284C" w:rsidRDefault="00465858">
      <w:pPr>
        <w:tabs>
          <w:tab w:val="left" w:pos="720"/>
        </w:tabs>
        <w:suppressAutoHyphens/>
        <w:ind w:firstLine="709"/>
        <w:jc w:val="both"/>
        <w:rPr>
          <w:b/>
          <w:bCs/>
          <w:szCs w:val="24"/>
          <w:lang w:eastAsia="zh-CN"/>
        </w:rPr>
      </w:pPr>
      <w:r>
        <w:rPr>
          <w:bCs/>
          <w:szCs w:val="24"/>
          <w:lang w:eastAsia="zh-CN"/>
        </w:rPr>
        <w:lastRenderedPageBreak/>
        <w:t xml:space="preserve">8.11. </w:t>
      </w:r>
      <w:r>
        <w:rPr>
          <w:szCs w:val="24"/>
          <w:lang w:eastAsia="zh-CN"/>
        </w:rPr>
        <w:t xml:space="preserve">jei </w:t>
      </w:r>
      <w:r>
        <w:rPr>
          <w:bCs/>
          <w:szCs w:val="24"/>
          <w:lang w:eastAsia="zh-CN"/>
        </w:rPr>
        <w:t xml:space="preserve">švietimo įstaigoje (grupėje) veikla nutraukiama vasaros atostogų metu;  </w:t>
      </w:r>
    </w:p>
    <w:p w14:paraId="367BB9C1" w14:textId="77777777" w:rsidR="0092284C" w:rsidRDefault="00465858">
      <w:pPr>
        <w:tabs>
          <w:tab w:val="left" w:pos="0"/>
          <w:tab w:val="left" w:pos="1418"/>
        </w:tabs>
        <w:suppressAutoHyphens/>
        <w:ind w:firstLine="709"/>
        <w:jc w:val="both"/>
        <w:rPr>
          <w:szCs w:val="24"/>
          <w:lang w:eastAsia="zh-CN"/>
        </w:rPr>
      </w:pPr>
      <w:r>
        <w:rPr>
          <w:bCs/>
          <w:szCs w:val="24"/>
          <w:lang w:eastAsia="zh-CN"/>
        </w:rPr>
        <w:t>8.12.</w:t>
      </w:r>
      <w:r>
        <w:rPr>
          <w:b/>
          <w:bCs/>
          <w:szCs w:val="24"/>
          <w:lang w:eastAsia="zh-CN"/>
        </w:rPr>
        <w:t xml:space="preserve"> </w:t>
      </w:r>
      <w:r>
        <w:rPr>
          <w:szCs w:val="24"/>
          <w:lang w:eastAsia="zh-CN" w:bidi="lo-LA"/>
        </w:rPr>
        <w:t xml:space="preserve">žiemos laikotarpiu, </w:t>
      </w:r>
      <w:r>
        <w:rPr>
          <w:szCs w:val="24"/>
          <w:lang w:eastAsia="zh-CN"/>
        </w:rPr>
        <w:t>esat labai šaltiems (20 laipsnių šalčio ir žemiau) ir vasarą esant karštiems orams (30 laipsnių karščio ir karščiau), jeigu negalima užimtumo organizuoti vėsesnėse aplinkose</w:t>
      </w:r>
      <w:r>
        <w:rPr>
          <w:szCs w:val="24"/>
          <w:lang w:eastAsia="zh-CN" w:bidi="lo-LA"/>
        </w:rPr>
        <w:t>, vadovaujantis Lietuvos hidrometeorologijos tarnybos prie Aplinkos ministerijos (</w:t>
      </w:r>
      <w:r>
        <w:rPr>
          <w:szCs w:val="24"/>
          <w:u w:val="single"/>
          <w:lang w:eastAsia="zh-CN" w:bidi="lo-LA"/>
        </w:rPr>
        <w:t>www.meteo.lt</w:t>
      </w:r>
      <w:r>
        <w:rPr>
          <w:szCs w:val="24"/>
          <w:lang w:eastAsia="zh-CN" w:bidi="lo-LA"/>
        </w:rPr>
        <w:t>) informacija (laukeliuose „Prognozės“ ir „Faktinė informacija“) arba tos dienos oro temperatūra Biržų  mieste;</w:t>
      </w:r>
    </w:p>
    <w:p w14:paraId="4391F21C" w14:textId="77777777" w:rsidR="0092284C" w:rsidRDefault="00465858">
      <w:pPr>
        <w:tabs>
          <w:tab w:val="left" w:pos="0"/>
          <w:tab w:val="left" w:pos="1418"/>
        </w:tabs>
        <w:suppressAutoHyphens/>
        <w:ind w:firstLine="709"/>
        <w:jc w:val="both"/>
      </w:pPr>
      <w:r>
        <w:rPr>
          <w:bCs/>
          <w:szCs w:val="24"/>
          <w:lang w:eastAsia="zh-CN"/>
        </w:rPr>
        <w:t>8.13</w:t>
      </w:r>
      <w:r>
        <w:rPr>
          <w:b/>
          <w:bCs/>
          <w:szCs w:val="24"/>
          <w:lang w:eastAsia="zh-CN"/>
        </w:rPr>
        <w:t xml:space="preserve"> </w:t>
      </w:r>
      <w:r>
        <w:rPr>
          <w:szCs w:val="24"/>
          <w:lang w:eastAsia="zh-CN"/>
        </w:rPr>
        <w:t>jei vaikui Savivaldybės administracijos direktoriaus įsakymu paskirtas privalomas ikimokyklinis ugdymas;</w:t>
      </w:r>
    </w:p>
    <w:p w14:paraId="51020392" w14:textId="77777777" w:rsidR="0092284C" w:rsidRDefault="00465858">
      <w:pPr>
        <w:suppressAutoHyphens/>
        <w:ind w:firstLine="709"/>
        <w:jc w:val="both"/>
        <w:rPr>
          <w:szCs w:val="24"/>
          <w:lang w:eastAsia="zh-CN"/>
        </w:rPr>
      </w:pPr>
      <w:r>
        <w:rPr>
          <w:szCs w:val="24"/>
          <w:lang w:eastAsia="zh-CN"/>
        </w:rPr>
        <w:t>8.14. jeigu vaikas nelanko įstaigos dėl paskelbtos Ekstremalios situacijos, ekstremaliojo įvykio ir (ar)</w:t>
      </w:r>
      <w:r>
        <w:rPr>
          <w:b/>
          <w:szCs w:val="24"/>
          <w:lang w:eastAsia="zh-CN"/>
        </w:rPr>
        <w:t xml:space="preserve"> </w:t>
      </w:r>
      <w:r>
        <w:rPr>
          <w:szCs w:val="24"/>
          <w:lang w:eastAsia="zh-CN"/>
        </w:rPr>
        <w:t xml:space="preserve">karantino metu ar kitu </w:t>
      </w:r>
      <w:r>
        <w:rPr>
          <w:i/>
          <w:szCs w:val="24"/>
          <w:lang w:eastAsia="zh-CN"/>
        </w:rPr>
        <w:t>force</w:t>
      </w:r>
      <w:r>
        <w:rPr>
          <w:szCs w:val="24"/>
          <w:lang w:eastAsia="zh-CN"/>
        </w:rPr>
        <w:t xml:space="preserve"> </w:t>
      </w:r>
      <w:r>
        <w:rPr>
          <w:i/>
          <w:szCs w:val="24"/>
          <w:lang w:eastAsia="zh-CN"/>
        </w:rPr>
        <w:t>majeure</w:t>
      </w:r>
      <w:r>
        <w:rPr>
          <w:szCs w:val="24"/>
          <w:lang w:eastAsia="zh-CN"/>
        </w:rPr>
        <w:t xml:space="preserve"> metu, tėvams </w:t>
      </w:r>
      <w:r>
        <w:rPr>
          <w:bCs/>
          <w:szCs w:val="24"/>
          <w:lang w:eastAsia="zh-CN"/>
        </w:rPr>
        <w:t xml:space="preserve">(globėjams, rūpintojams) </w:t>
      </w:r>
      <w:r>
        <w:rPr>
          <w:szCs w:val="24"/>
          <w:lang w:eastAsia="zh-CN"/>
        </w:rPr>
        <w:t>pateikus</w:t>
      </w:r>
      <w:r>
        <w:rPr>
          <w:bCs/>
          <w:szCs w:val="24"/>
          <w:lang w:eastAsia="zh-CN"/>
        </w:rPr>
        <w:t xml:space="preserve"> prašymą, kuriame nurodoma pirma neatvykimo</w:t>
      </w:r>
      <w:r>
        <w:rPr>
          <w:szCs w:val="24"/>
          <w:lang w:eastAsia="zh-CN"/>
        </w:rPr>
        <w:t xml:space="preserve"> diena, o paskutinę neatvykimo dieną informuojama apie atvykimą į įstaigą kitą darbo dieną.</w:t>
      </w:r>
      <w:r>
        <w:t xml:space="preserve"> </w:t>
      </w:r>
    </w:p>
    <w:p w14:paraId="554FEB5A" w14:textId="77777777" w:rsidR="0092284C" w:rsidRDefault="00465858">
      <w:pPr>
        <w:rPr>
          <w:rFonts w:eastAsia="MS Mincho"/>
          <w:i/>
          <w:iCs/>
          <w:sz w:val="20"/>
        </w:rPr>
      </w:pPr>
      <w:r>
        <w:rPr>
          <w:rFonts w:eastAsia="MS Mincho"/>
          <w:i/>
          <w:iCs/>
          <w:sz w:val="20"/>
        </w:rPr>
        <w:t>Papildyta papunkčiu:</w:t>
      </w:r>
    </w:p>
    <w:p w14:paraId="7604CA70" w14:textId="77777777" w:rsidR="0092284C" w:rsidRDefault="00465858">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T-261</w:t>
        </w:r>
      </w:hyperlink>
      <w:r>
        <w:rPr>
          <w:rFonts w:eastAsia="MS Mincho"/>
          <w:i/>
          <w:iCs/>
          <w:sz w:val="20"/>
        </w:rPr>
        <w:t>, 2020-12-04, paskelbta TAR 2020-12-08, i. k. 2020-26491</w:t>
      </w:r>
    </w:p>
    <w:p w14:paraId="30D7165C" w14:textId="77777777" w:rsidR="0092284C" w:rsidRDefault="0092284C"/>
    <w:p w14:paraId="4681A203" w14:textId="77777777" w:rsidR="0092284C" w:rsidRDefault="00465858">
      <w:pPr>
        <w:suppressAutoHyphens/>
        <w:ind w:firstLine="709"/>
        <w:jc w:val="both"/>
        <w:rPr>
          <w:rFonts w:eastAsia="SimSun"/>
          <w:szCs w:val="24"/>
          <w:lang w:eastAsia="zh-CN"/>
        </w:rPr>
      </w:pPr>
      <w:r>
        <w:rPr>
          <w:rFonts w:eastAsia="SimSun"/>
          <w:bCs/>
          <w:szCs w:val="24"/>
          <w:lang w:eastAsia="zh-CN"/>
        </w:rPr>
        <w:t>9. Tėvams (globėjams, rūpintojams) atlyginimas už vaikų maitinimą mažinamas 50ؘ proc.:</w:t>
      </w:r>
    </w:p>
    <w:p w14:paraId="763117B7" w14:textId="77777777" w:rsidR="0092284C" w:rsidRDefault="00465858">
      <w:pPr>
        <w:suppressAutoHyphens/>
        <w:ind w:firstLine="709"/>
        <w:jc w:val="both"/>
        <w:rPr>
          <w:szCs w:val="24"/>
          <w:lang w:eastAsia="zh-CN"/>
        </w:rPr>
      </w:pPr>
      <w:r>
        <w:rPr>
          <w:szCs w:val="24"/>
          <w:lang w:eastAsia="zh-CN" w:bidi="lo-LA"/>
        </w:rPr>
        <w:t>9.1. jeigu vaikas turi tik vieną iš tėvų, o kitas:</w:t>
      </w:r>
    </w:p>
    <w:p w14:paraId="5467C463" w14:textId="77777777" w:rsidR="0092284C" w:rsidRDefault="00465858">
      <w:pPr>
        <w:suppressAutoHyphens/>
        <w:ind w:firstLine="709"/>
        <w:jc w:val="both"/>
        <w:rPr>
          <w:szCs w:val="24"/>
          <w:lang w:eastAsia="zh-CN"/>
        </w:rPr>
      </w:pPr>
      <w:r>
        <w:rPr>
          <w:szCs w:val="24"/>
          <w:lang w:eastAsia="zh-CN" w:bidi="lo-LA"/>
        </w:rPr>
        <w:t xml:space="preserve">9.1.1. miręs, pateikus mirties liudijimą; </w:t>
      </w:r>
    </w:p>
    <w:p w14:paraId="2BE5DC03" w14:textId="77777777" w:rsidR="0092284C" w:rsidRDefault="00465858">
      <w:pPr>
        <w:suppressAutoHyphens/>
        <w:ind w:firstLine="709"/>
        <w:jc w:val="both"/>
        <w:rPr>
          <w:szCs w:val="24"/>
          <w:lang w:eastAsia="zh-CN"/>
        </w:rPr>
      </w:pPr>
      <w:r>
        <w:rPr>
          <w:szCs w:val="24"/>
          <w:lang w:eastAsia="zh-CN" w:bidi="lo-LA"/>
        </w:rPr>
        <w:t xml:space="preserve">9.1.2. dingęs be žinios, pateikus teismo sprendimą dėl vieno iš tėvų pripažinimo dingusiu be žinios; </w:t>
      </w:r>
    </w:p>
    <w:p w14:paraId="2C3634F6" w14:textId="77777777" w:rsidR="0092284C" w:rsidRDefault="00465858">
      <w:pPr>
        <w:suppressAutoHyphens/>
        <w:ind w:firstLine="709"/>
        <w:jc w:val="both"/>
        <w:rPr>
          <w:szCs w:val="24"/>
          <w:lang w:eastAsia="zh-CN"/>
        </w:rPr>
      </w:pPr>
      <w:r>
        <w:rPr>
          <w:szCs w:val="24"/>
          <w:lang w:eastAsia="zh-CN" w:bidi="lo-LA"/>
        </w:rPr>
        <w:t>9.1.3. atlieka bausmę įkalinimo įstaigoje, pateikus pažymą iš įkalinimo įstaigos;</w:t>
      </w:r>
    </w:p>
    <w:p w14:paraId="369A7AFD" w14:textId="77777777" w:rsidR="0092284C" w:rsidRDefault="00465858">
      <w:pPr>
        <w:suppressAutoHyphens/>
        <w:ind w:firstLine="709"/>
        <w:jc w:val="both"/>
        <w:rPr>
          <w:szCs w:val="24"/>
          <w:lang w:eastAsia="zh-CN"/>
        </w:rPr>
      </w:pPr>
      <w:r>
        <w:rPr>
          <w:szCs w:val="24"/>
          <w:lang w:eastAsia="zh-CN" w:bidi="lo-LA"/>
        </w:rPr>
        <w:t>9.1.4. vienam iš tėvų laikinai arba neterminuotai apribota valdžia;</w:t>
      </w:r>
    </w:p>
    <w:p w14:paraId="5F6D0989" w14:textId="77777777" w:rsidR="0092284C" w:rsidRDefault="00465858">
      <w:pPr>
        <w:suppressAutoHyphens/>
        <w:ind w:firstLine="709"/>
        <w:jc w:val="both"/>
        <w:rPr>
          <w:szCs w:val="24"/>
          <w:lang w:eastAsia="zh-CN"/>
        </w:rPr>
      </w:pPr>
      <w:r>
        <w:rPr>
          <w:szCs w:val="24"/>
          <w:lang w:eastAsia="zh-CN" w:bidi="lo-LA"/>
        </w:rPr>
        <w:t xml:space="preserve">9.1.5. vaiko gimimo liudijime nenurodytas tėvas, pateikus gimimo liudijimo kopiją. </w:t>
      </w:r>
    </w:p>
    <w:p w14:paraId="7513AD80" w14:textId="77777777" w:rsidR="0092284C" w:rsidRDefault="00465858">
      <w:pPr>
        <w:suppressAutoHyphens/>
        <w:ind w:firstLine="709"/>
        <w:jc w:val="both"/>
        <w:rPr>
          <w:szCs w:val="24"/>
          <w:lang w:eastAsia="zh-CN"/>
        </w:rPr>
      </w:pPr>
      <w:r>
        <w:rPr>
          <w:szCs w:val="24"/>
          <w:lang w:val="pt-BR" w:eastAsia="zh-CN"/>
        </w:rPr>
        <w:t xml:space="preserve">9.2. </w:t>
      </w:r>
      <w:r>
        <w:rPr>
          <w:bCs/>
          <w:szCs w:val="24"/>
          <w:lang w:eastAsia="zh-CN"/>
        </w:rPr>
        <w:t xml:space="preserve">jeigu šeima augina 3 ir daugiau vaikų iki 18 metų ir vyresnių, kurie  mokosi dieninėse visų tipų mokymo įstaigose. </w:t>
      </w:r>
      <w:r>
        <w:rPr>
          <w:szCs w:val="24"/>
          <w:lang w:eastAsia="zh-CN"/>
        </w:rPr>
        <w:t>Šeima privalo pateikti pažymą apie šeimos sudėtį bei pažymą iš mokymo įstaigų, kuriose vaikai mokosi. Vaikų ir kūdikių namuose bei globos ir vaikų namuose augantys vaikai, gyvenantys šeimynose ar pas laikinus globotojus, kurie išlaikomi valstybės arba savivaldybės lėšomis, į vaikų skaičių lengvatai gauti neįtraukiami;</w:t>
      </w:r>
    </w:p>
    <w:p w14:paraId="0EF3F473" w14:textId="77777777" w:rsidR="0092284C" w:rsidRDefault="00465858">
      <w:pPr>
        <w:suppressAutoHyphens/>
        <w:ind w:firstLine="709"/>
        <w:jc w:val="both"/>
        <w:rPr>
          <w:szCs w:val="24"/>
          <w:lang w:eastAsia="zh-CN"/>
        </w:rPr>
      </w:pPr>
      <w:r>
        <w:rPr>
          <w:bCs/>
          <w:szCs w:val="24"/>
          <w:lang w:eastAsia="zh-CN"/>
        </w:rPr>
        <w:t>9.3. jei vaikui nustatytas neįgalumas (didelis), dideli arba labai dideli specialieji ugdymosi poreikiai ir jis lanko specializuotas grupes bendrosios paskirties įstaigose arba specialiuosius darželius, skirtus vaikams, kurie dėl įgimtų ar įgytų sutrikimų turi didelių ir labai didelių specialiųjų ugdymosi poreikių, arba ugdomi integruotai bendrosiose grupėse, pateikus įrodančius dokumentus;</w:t>
      </w:r>
    </w:p>
    <w:p w14:paraId="3FF59773" w14:textId="77777777" w:rsidR="0092284C" w:rsidRDefault="00465858">
      <w:pPr>
        <w:suppressAutoHyphens/>
        <w:ind w:firstLine="709"/>
        <w:jc w:val="both"/>
        <w:rPr>
          <w:szCs w:val="24"/>
          <w:lang w:eastAsia="zh-CN"/>
        </w:rPr>
      </w:pPr>
      <w:r>
        <w:rPr>
          <w:szCs w:val="24"/>
          <w:lang w:eastAsia="zh-CN" w:bidi="lo-LA"/>
        </w:rPr>
        <w:t>9.4. jeigu vienas iš tėvų (globėjų, rūpintojų) mokosi Lietuvos Respublikos mokymo įstaigos dieniniame skyriuje, pateikus pažymą apie tėvų (globėjų, rūpintojų) mokymąsi dieninio tipo Lietuvos Respublikos mokymo įstaigose;</w:t>
      </w:r>
    </w:p>
    <w:p w14:paraId="4BBFEF0B" w14:textId="77777777" w:rsidR="0092284C" w:rsidRDefault="00465858">
      <w:pPr>
        <w:suppressAutoHyphens/>
        <w:ind w:firstLine="709"/>
        <w:jc w:val="both"/>
        <w:rPr>
          <w:szCs w:val="24"/>
          <w:lang w:eastAsia="zh-CN"/>
        </w:rPr>
      </w:pPr>
      <w:r>
        <w:rPr>
          <w:szCs w:val="24"/>
          <w:lang w:eastAsia="zh-CN" w:bidi="lo-LA"/>
        </w:rPr>
        <w:t>9.5. jeigu vienas iš tėvų (globėjų) atlieka tikrąją karo tarnybą (Lietuvos Respublikos piliečių privalomąją karo tarnybą, profesinę karo tarnybą, Krašto apsaugos savanorių karo tarnybą, taip pat kariūnų tarnybą), pateikus pažymą iš tikrosios karo tarnybos vietos.</w:t>
      </w:r>
    </w:p>
    <w:p w14:paraId="1D4251CA" w14:textId="77777777" w:rsidR="0092284C" w:rsidRDefault="0092284C">
      <w:pPr>
        <w:suppressAutoHyphens/>
        <w:ind w:firstLine="709"/>
        <w:jc w:val="center"/>
        <w:rPr>
          <w:b/>
          <w:szCs w:val="24"/>
          <w:lang w:eastAsia="zh-CN" w:bidi="lo-LA"/>
        </w:rPr>
      </w:pPr>
    </w:p>
    <w:p w14:paraId="14486F3A" w14:textId="77777777" w:rsidR="0092284C" w:rsidRDefault="00465858">
      <w:pPr>
        <w:suppressAutoHyphens/>
        <w:jc w:val="center"/>
        <w:rPr>
          <w:szCs w:val="24"/>
          <w:lang w:eastAsia="zh-CN"/>
        </w:rPr>
      </w:pPr>
      <w:r>
        <w:rPr>
          <w:b/>
          <w:szCs w:val="24"/>
          <w:lang w:eastAsia="zh-CN" w:bidi="lo-LA"/>
        </w:rPr>
        <w:t>IV SKYRIUS</w:t>
      </w:r>
    </w:p>
    <w:p w14:paraId="39DFCA6E" w14:textId="77777777" w:rsidR="0092284C" w:rsidRDefault="00465858">
      <w:pPr>
        <w:suppressAutoHyphens/>
        <w:jc w:val="center"/>
        <w:rPr>
          <w:szCs w:val="24"/>
          <w:lang w:eastAsia="zh-CN"/>
        </w:rPr>
      </w:pPr>
      <w:r>
        <w:rPr>
          <w:b/>
          <w:szCs w:val="24"/>
          <w:lang w:eastAsia="zh-CN" w:bidi="lo-LA"/>
        </w:rPr>
        <w:t>BAIGIAMOSIOS NUOSTATOS</w:t>
      </w:r>
    </w:p>
    <w:p w14:paraId="5965A6F1" w14:textId="77777777" w:rsidR="0092284C" w:rsidRDefault="0092284C">
      <w:pPr>
        <w:suppressAutoHyphens/>
        <w:ind w:firstLine="709"/>
        <w:jc w:val="both"/>
        <w:rPr>
          <w:b/>
          <w:szCs w:val="24"/>
          <w:lang w:eastAsia="zh-CN" w:bidi="lo-LA"/>
        </w:rPr>
      </w:pPr>
    </w:p>
    <w:p w14:paraId="2BC2423F" w14:textId="77777777" w:rsidR="0092284C" w:rsidRDefault="00465858">
      <w:pPr>
        <w:tabs>
          <w:tab w:val="left" w:pos="-3240"/>
          <w:tab w:val="left" w:pos="1134"/>
        </w:tabs>
        <w:suppressAutoHyphens/>
        <w:ind w:firstLine="709"/>
        <w:jc w:val="both"/>
        <w:rPr>
          <w:szCs w:val="24"/>
          <w:lang w:eastAsia="zh-CN"/>
        </w:rPr>
      </w:pPr>
      <w:r>
        <w:rPr>
          <w:szCs w:val="24"/>
          <w:lang w:eastAsia="zh-CN"/>
        </w:rPr>
        <w:t>10.</w:t>
      </w:r>
      <w:r>
        <w:rPr>
          <w:szCs w:val="24"/>
          <w:lang w:eastAsia="zh-CN"/>
        </w:rPr>
        <w:tab/>
        <w:t>Tėvai (globėjai</w:t>
      </w:r>
      <w:r>
        <w:rPr>
          <w:bCs/>
          <w:szCs w:val="24"/>
          <w:lang w:eastAsia="zh-CN"/>
        </w:rPr>
        <w:t xml:space="preserve"> rūpintojai</w:t>
      </w:r>
      <w:r>
        <w:rPr>
          <w:szCs w:val="24"/>
          <w:lang w:eastAsia="zh-CN"/>
        </w:rPr>
        <w:t xml:space="preserve">) atlyginimą už vaiko išlaikymą švietimo įstaigoje moka už praėjusį mėnesį ir privalo jį sumokėti iki einamojo mėnesio 20 d. </w:t>
      </w:r>
    </w:p>
    <w:p w14:paraId="5674246E" w14:textId="77777777" w:rsidR="0092284C" w:rsidRDefault="00465858">
      <w:pPr>
        <w:tabs>
          <w:tab w:val="left" w:pos="-3240"/>
          <w:tab w:val="left" w:pos="1134"/>
        </w:tabs>
        <w:suppressAutoHyphens/>
        <w:ind w:firstLine="709"/>
        <w:jc w:val="both"/>
        <w:rPr>
          <w:szCs w:val="24"/>
          <w:lang w:eastAsia="zh-CN"/>
        </w:rPr>
      </w:pPr>
      <w:r>
        <w:rPr>
          <w:szCs w:val="24"/>
          <w:lang w:eastAsia="zh-CN"/>
        </w:rPr>
        <w:t>11.</w:t>
      </w:r>
      <w:r>
        <w:rPr>
          <w:szCs w:val="24"/>
          <w:lang w:eastAsia="zh-CN"/>
        </w:rPr>
        <w:tab/>
        <w:t>Jeigu tėvai (globėjai</w:t>
      </w:r>
      <w:r>
        <w:rPr>
          <w:bCs/>
          <w:szCs w:val="24"/>
          <w:lang w:eastAsia="zh-CN"/>
        </w:rPr>
        <w:t xml:space="preserve"> rūpintojai</w:t>
      </w:r>
      <w:r>
        <w:rPr>
          <w:szCs w:val="24"/>
          <w:lang w:eastAsia="zh-CN"/>
        </w:rPr>
        <w:t>) atlyginimo už vaiko išlaikymą švietimo įstaigoje, nesumoka ilgiau kaip du mėnesius, švietimo įstaigos direktorius turi teisę išbraukti vaiką iš švietimo įstaigos grupės sąrašo, prieš tai raštu įspėjęs tėvus (globėjus,</w:t>
      </w:r>
      <w:r>
        <w:rPr>
          <w:bCs/>
          <w:szCs w:val="24"/>
          <w:lang w:eastAsia="zh-CN"/>
        </w:rPr>
        <w:t xml:space="preserve"> rūpintojus</w:t>
      </w:r>
      <w:r>
        <w:rPr>
          <w:szCs w:val="24"/>
          <w:lang w:eastAsia="zh-CN"/>
        </w:rPr>
        <w:t>).</w:t>
      </w:r>
    </w:p>
    <w:p w14:paraId="40A67CFB" w14:textId="77777777" w:rsidR="0092284C" w:rsidRDefault="00465858">
      <w:pPr>
        <w:suppressAutoHyphens/>
        <w:ind w:firstLine="709"/>
        <w:jc w:val="both"/>
        <w:rPr>
          <w:szCs w:val="24"/>
          <w:lang w:eastAsia="zh-CN"/>
        </w:rPr>
      </w:pPr>
      <w:r>
        <w:rPr>
          <w:szCs w:val="24"/>
          <w:lang w:eastAsia="zh-CN"/>
        </w:rPr>
        <w:t>12.</w:t>
      </w:r>
      <w:r>
        <w:rPr>
          <w:szCs w:val="24"/>
          <w:lang w:eastAsia="zh-CN"/>
        </w:rPr>
        <w:tab/>
        <w:t>Dokumentai (prašymai, pažymos ir kt.), kurių pagrindu taikomos atlyginimo už vaiko išlaikymą švietimo įstaigos ikimokyklinio ir priešmokyklinio ugdymo grupėje, mokėjimo lengvatos, teikiami švietimo įstaigos direktoriui ar jo įgaliotam asmeniui priimant vaiką į įstaigą arba įgijus teisę į lengvatą. Pakartotinai dokumentai teikiami kiekvienais metais iki rugsėjo mėnesio paskutinės darbo dienos.</w:t>
      </w:r>
      <w:r>
        <w:rPr>
          <w:szCs w:val="24"/>
          <w:lang w:eastAsia="zh-CN" w:bidi="lo-LA"/>
        </w:rPr>
        <w:t xml:space="preserve"> </w:t>
      </w:r>
    </w:p>
    <w:p w14:paraId="4E158E09" w14:textId="77777777" w:rsidR="0092284C" w:rsidRDefault="00465858">
      <w:pPr>
        <w:tabs>
          <w:tab w:val="left" w:pos="-3240"/>
          <w:tab w:val="left" w:pos="1134"/>
        </w:tabs>
        <w:suppressAutoHyphens/>
        <w:ind w:firstLine="709"/>
        <w:jc w:val="both"/>
        <w:rPr>
          <w:szCs w:val="24"/>
          <w:lang w:eastAsia="zh-CN"/>
        </w:rPr>
      </w:pPr>
      <w:r>
        <w:rPr>
          <w:szCs w:val="24"/>
          <w:lang w:eastAsia="zh-CN"/>
        </w:rPr>
        <w:t>13.</w:t>
      </w:r>
      <w:r>
        <w:rPr>
          <w:szCs w:val="24"/>
          <w:lang w:eastAsia="zh-CN"/>
        </w:rPr>
        <w:tab/>
        <w:t>Atlyginimo už vaiko išlaikymą švietimo įstaigos grupėje, mokėjimo lengvatų taikymas įforminamas švietimo įstaigos direktoriaus įsakymu.</w:t>
      </w:r>
      <w:r>
        <w:rPr>
          <w:szCs w:val="24"/>
          <w:lang w:eastAsia="lt-LT"/>
        </w:rPr>
        <w:t xml:space="preserve"> </w:t>
      </w:r>
    </w:p>
    <w:p w14:paraId="2BF6DBD8" w14:textId="77777777" w:rsidR="0092284C" w:rsidRDefault="00465858">
      <w:pPr>
        <w:suppressAutoHyphens/>
        <w:ind w:firstLine="709"/>
        <w:jc w:val="both"/>
        <w:rPr>
          <w:szCs w:val="24"/>
          <w:lang w:eastAsia="zh-CN"/>
        </w:rPr>
      </w:pPr>
      <w:r>
        <w:rPr>
          <w:szCs w:val="24"/>
          <w:lang w:eastAsia="zh-CN" w:bidi="lo-LA"/>
        </w:rPr>
        <w:t>14. Lengvata taikoma pateikus reikiamus dokumentus už einamąjį mėnesį.</w:t>
      </w:r>
    </w:p>
    <w:p w14:paraId="385CA883" w14:textId="77777777" w:rsidR="0092284C" w:rsidRDefault="00465858">
      <w:pPr>
        <w:suppressAutoHyphens/>
        <w:ind w:firstLine="709"/>
        <w:jc w:val="both"/>
        <w:rPr>
          <w:szCs w:val="24"/>
          <w:lang w:eastAsia="zh-CN"/>
        </w:rPr>
      </w:pPr>
      <w:r>
        <w:rPr>
          <w:szCs w:val="24"/>
          <w:lang w:eastAsia="zh-CN" w:bidi="lo-LA"/>
        </w:rPr>
        <w:lastRenderedPageBreak/>
        <w:t>15. Laiku nepateikus dokumentų, mokestis skaičiuojamas bendra tvarka nuo kito mėnesio pirmos dienos.</w:t>
      </w:r>
    </w:p>
    <w:p w14:paraId="55B98886" w14:textId="77777777" w:rsidR="0092284C" w:rsidRDefault="00465858">
      <w:pPr>
        <w:suppressAutoHyphens/>
        <w:ind w:firstLine="709"/>
        <w:jc w:val="both"/>
        <w:rPr>
          <w:szCs w:val="24"/>
          <w:lang w:eastAsia="zh-CN"/>
        </w:rPr>
      </w:pPr>
      <w:r>
        <w:rPr>
          <w:szCs w:val="24"/>
          <w:lang w:eastAsia="zh-CN" w:bidi="lo-LA"/>
        </w:rPr>
        <w:t>16</w:t>
      </w:r>
      <w:r>
        <w:rPr>
          <w:szCs w:val="24"/>
          <w:lang w:eastAsia="zh-CN"/>
        </w:rPr>
        <w:t>. Netekę teisės į atlyginimo mokėjimo lengvatą, tėvai (globėjai,</w:t>
      </w:r>
      <w:r>
        <w:rPr>
          <w:bCs/>
          <w:szCs w:val="24"/>
          <w:lang w:eastAsia="zh-CN"/>
        </w:rPr>
        <w:t xml:space="preserve"> rūpintojai</w:t>
      </w:r>
      <w:r>
        <w:rPr>
          <w:szCs w:val="24"/>
          <w:lang w:eastAsia="zh-CN"/>
        </w:rPr>
        <w:t>) iškart privalo apie tai raštu pranešti švietimo įstaigos direktoriui ar jo įgaliotam asmeniui.</w:t>
      </w:r>
    </w:p>
    <w:p w14:paraId="49B75BD7" w14:textId="77777777" w:rsidR="0092284C" w:rsidRDefault="00465858">
      <w:pPr>
        <w:suppressAutoHyphens/>
        <w:ind w:firstLine="709"/>
        <w:jc w:val="both"/>
        <w:rPr>
          <w:szCs w:val="24"/>
          <w:lang w:eastAsia="zh-CN"/>
        </w:rPr>
      </w:pPr>
      <w:r>
        <w:rPr>
          <w:szCs w:val="24"/>
          <w:lang w:eastAsia="zh-CN" w:bidi="lo-LA"/>
        </w:rPr>
        <w:t>17</w:t>
      </w:r>
      <w:r>
        <w:rPr>
          <w:bCs/>
          <w:szCs w:val="24"/>
          <w:lang w:eastAsia="zh-CN" w:bidi="lo-LA"/>
        </w:rPr>
        <w:t>.</w:t>
      </w:r>
      <w:r>
        <w:rPr>
          <w:b/>
          <w:bCs/>
          <w:szCs w:val="24"/>
          <w:lang w:eastAsia="zh-CN" w:bidi="lo-LA"/>
        </w:rPr>
        <w:t xml:space="preserve"> </w:t>
      </w:r>
      <w:r>
        <w:rPr>
          <w:szCs w:val="24"/>
          <w:lang w:eastAsia="zh-CN" w:bidi="lo-LA"/>
        </w:rPr>
        <w:t>Tėvai (globėjai, rūpintojai), nuslėpę ar pateikę neteisingus duomenis mokesčio lengvatai gauti už vaikų išlaikymą įstaigoje, privalo šią lengvatą suteikusiai įstaigai grąžinti neteisėtai gautos lengvatos dydžio pinigines lėšas. Neteisėtai gautos ir negrąžintos lengvatos už vaikų išlaikymą įstaigoje dydžio piniginės lėšos išieškomos įstatymų nustatyta tvarka.</w:t>
      </w:r>
    </w:p>
    <w:p w14:paraId="1A4B14CF" w14:textId="77777777" w:rsidR="0092284C" w:rsidRDefault="00465858">
      <w:pPr>
        <w:tabs>
          <w:tab w:val="left" w:pos="-3240"/>
          <w:tab w:val="left" w:pos="1134"/>
        </w:tabs>
        <w:suppressAutoHyphens/>
        <w:ind w:firstLine="709"/>
        <w:jc w:val="both"/>
        <w:rPr>
          <w:szCs w:val="24"/>
          <w:lang w:eastAsia="zh-CN"/>
        </w:rPr>
      </w:pPr>
      <w:r>
        <w:rPr>
          <w:szCs w:val="24"/>
          <w:lang w:eastAsia="zh-CN"/>
        </w:rPr>
        <w:t>18.</w:t>
      </w:r>
      <w:r>
        <w:rPr>
          <w:szCs w:val="24"/>
          <w:lang w:eastAsia="zh-CN"/>
        </w:rPr>
        <w:tab/>
        <w:t>Atlyginimo už vaiko išlaikymą mokėjimo skolos iš tėvų (globėjų,</w:t>
      </w:r>
      <w:r>
        <w:rPr>
          <w:bCs/>
          <w:szCs w:val="24"/>
          <w:lang w:eastAsia="zh-CN"/>
        </w:rPr>
        <w:t xml:space="preserve"> rūpintojų</w:t>
      </w:r>
      <w:r>
        <w:rPr>
          <w:szCs w:val="24"/>
          <w:lang w:eastAsia="zh-CN"/>
        </w:rPr>
        <w:t>) išieškomos Lietuvos Respublikos teisės aktų nustatyta tvarka.</w:t>
      </w:r>
    </w:p>
    <w:p w14:paraId="4D6A0A89" w14:textId="77777777" w:rsidR="0092284C" w:rsidRDefault="00465858">
      <w:pPr>
        <w:tabs>
          <w:tab w:val="left" w:pos="-3240"/>
          <w:tab w:val="left" w:pos="1134"/>
        </w:tabs>
        <w:suppressAutoHyphens/>
        <w:ind w:firstLine="709"/>
        <w:jc w:val="both"/>
        <w:rPr>
          <w:szCs w:val="24"/>
          <w:lang w:eastAsia="zh-CN"/>
        </w:rPr>
      </w:pPr>
      <w:r>
        <w:rPr>
          <w:szCs w:val="24"/>
          <w:lang w:eastAsia="zh-CN"/>
        </w:rPr>
        <w:t>19.</w:t>
      </w:r>
      <w:r>
        <w:rPr>
          <w:szCs w:val="24"/>
          <w:lang w:eastAsia="zh-CN"/>
        </w:rPr>
        <w:tab/>
        <w:t>Už atlyginimo už vaiko išlaikymą Savivaldybės švietimo įstaigos ikimokyklinio ir priešmokyklinio ugdymo grupėje surinkimą atsako švietimo įstaigos direktorius ar jo įgaliotas asmuo.</w:t>
      </w:r>
    </w:p>
    <w:p w14:paraId="78231297" w14:textId="77777777" w:rsidR="0092284C" w:rsidRDefault="00465858">
      <w:pPr>
        <w:suppressAutoHyphens/>
        <w:jc w:val="center"/>
        <w:rPr>
          <w:szCs w:val="24"/>
          <w:lang w:eastAsia="zh-CN"/>
        </w:rPr>
      </w:pPr>
      <w:r>
        <w:rPr>
          <w:szCs w:val="24"/>
          <w:lang w:eastAsia="zh-CN"/>
        </w:rPr>
        <w:t>___________________</w:t>
      </w:r>
    </w:p>
    <w:p w14:paraId="748D2F7A" w14:textId="77777777" w:rsidR="0092284C" w:rsidRDefault="0092284C">
      <w:pPr>
        <w:jc w:val="both"/>
        <w:rPr>
          <w:b/>
          <w:sz w:val="20"/>
        </w:rPr>
      </w:pPr>
    </w:p>
    <w:p w14:paraId="676348A3" w14:textId="77777777" w:rsidR="0092284C" w:rsidRDefault="0092284C">
      <w:pPr>
        <w:jc w:val="both"/>
        <w:rPr>
          <w:b/>
          <w:sz w:val="20"/>
        </w:rPr>
      </w:pPr>
    </w:p>
    <w:p w14:paraId="66E69604" w14:textId="77777777" w:rsidR="0092284C" w:rsidRDefault="00465858">
      <w:pPr>
        <w:jc w:val="both"/>
        <w:rPr>
          <w:b/>
        </w:rPr>
      </w:pPr>
      <w:r>
        <w:rPr>
          <w:b/>
          <w:sz w:val="20"/>
        </w:rPr>
        <w:t>Pakeitimai:</w:t>
      </w:r>
    </w:p>
    <w:p w14:paraId="3715FA82" w14:textId="77777777" w:rsidR="0092284C" w:rsidRDefault="0092284C">
      <w:pPr>
        <w:jc w:val="both"/>
        <w:rPr>
          <w:sz w:val="20"/>
        </w:rPr>
      </w:pPr>
    </w:p>
    <w:p w14:paraId="61382C02" w14:textId="77777777" w:rsidR="0092284C" w:rsidRDefault="00465858">
      <w:pPr>
        <w:jc w:val="both"/>
      </w:pPr>
      <w:r>
        <w:rPr>
          <w:sz w:val="20"/>
        </w:rPr>
        <w:t>1.</w:t>
      </w:r>
    </w:p>
    <w:p w14:paraId="42FD4050" w14:textId="77777777" w:rsidR="0092284C" w:rsidRDefault="00465858">
      <w:pPr>
        <w:jc w:val="both"/>
      </w:pPr>
      <w:r>
        <w:rPr>
          <w:sz w:val="20"/>
        </w:rPr>
        <w:t>Biržų rajono savivaldybės taryba, Sprendimas</w:t>
      </w:r>
    </w:p>
    <w:p w14:paraId="08991302" w14:textId="77777777" w:rsidR="0092284C" w:rsidRDefault="00465858">
      <w:pPr>
        <w:jc w:val="both"/>
      </w:pPr>
      <w:r>
        <w:rPr>
          <w:sz w:val="20"/>
        </w:rPr>
        <w:t xml:space="preserve">Nr. </w:t>
      </w:r>
      <w:hyperlink r:id="rId15" w:history="1">
        <w:r w:rsidRPr="00532B9F">
          <w:rPr>
            <w:rFonts w:eastAsia="MS Mincho"/>
            <w:iCs/>
            <w:color w:val="0563C1" w:themeColor="hyperlink"/>
            <w:sz w:val="20"/>
            <w:u w:val="single"/>
          </w:rPr>
          <w:t>T-261</w:t>
        </w:r>
      </w:hyperlink>
      <w:r>
        <w:rPr>
          <w:rFonts w:eastAsia="MS Mincho"/>
          <w:iCs/>
          <w:sz w:val="20"/>
        </w:rPr>
        <w:t>, 2020-12-04, paskelbta TAR 2020-12-08, i. k. 2020-26491</w:t>
      </w:r>
    </w:p>
    <w:p w14:paraId="737AF450" w14:textId="77777777" w:rsidR="0092284C" w:rsidRDefault="00465858">
      <w:pPr>
        <w:jc w:val="both"/>
      </w:pPr>
      <w:r>
        <w:rPr>
          <w:sz w:val="20"/>
        </w:rPr>
        <w:t>Dėl Biržų rajono savivaldybės tarybos 2019 m. rugsėjo 26 d. sprendimo Nr. T-193 „Dėl Atlyginimo dydžio už vaikų, ugdomų pagal ikimokyklinio ir (ar) priešmokyklinio ugdymo programas, išlaikymą savivaldybės švietimo įstaigose nustatymo tvarkos aprašo patvirtinimo“ pakeitimo</w:t>
      </w:r>
    </w:p>
    <w:p w14:paraId="4EFB90EE" w14:textId="77777777" w:rsidR="0092284C" w:rsidRDefault="0092284C">
      <w:pPr>
        <w:jc w:val="both"/>
        <w:rPr>
          <w:sz w:val="20"/>
        </w:rPr>
      </w:pPr>
    </w:p>
    <w:p w14:paraId="23F3DBA5" w14:textId="77777777" w:rsidR="0092284C" w:rsidRDefault="00465858">
      <w:pPr>
        <w:jc w:val="both"/>
      </w:pPr>
      <w:r>
        <w:rPr>
          <w:sz w:val="20"/>
        </w:rPr>
        <w:t>2.</w:t>
      </w:r>
    </w:p>
    <w:p w14:paraId="5D3E12F8" w14:textId="77777777" w:rsidR="0092284C" w:rsidRDefault="00465858">
      <w:pPr>
        <w:jc w:val="both"/>
      </w:pPr>
      <w:r>
        <w:rPr>
          <w:sz w:val="20"/>
        </w:rPr>
        <w:t>Biržų rajono savivaldybės taryba, Sprendimas</w:t>
      </w:r>
    </w:p>
    <w:p w14:paraId="316A9F9E" w14:textId="77777777" w:rsidR="0092284C" w:rsidRDefault="00465858">
      <w:pPr>
        <w:jc w:val="both"/>
      </w:pPr>
      <w:r>
        <w:rPr>
          <w:sz w:val="20"/>
        </w:rPr>
        <w:t xml:space="preserve">Nr. </w:t>
      </w:r>
      <w:hyperlink r:id="rId16" w:history="1">
        <w:r w:rsidRPr="00532B9F">
          <w:rPr>
            <w:rFonts w:eastAsia="MS Mincho"/>
            <w:iCs/>
            <w:color w:val="0563C1" w:themeColor="hyperlink"/>
            <w:sz w:val="20"/>
            <w:u w:val="single"/>
          </w:rPr>
          <w:t>T-185</w:t>
        </w:r>
      </w:hyperlink>
      <w:r>
        <w:rPr>
          <w:rFonts w:eastAsia="MS Mincho"/>
          <w:iCs/>
          <w:sz w:val="20"/>
        </w:rPr>
        <w:t>, 2022-08-26, paskelbta TAR 2022-08-26, i. k. 2022-17595</w:t>
      </w:r>
    </w:p>
    <w:p w14:paraId="627A3CF9" w14:textId="77777777" w:rsidR="0092284C" w:rsidRDefault="00465858">
      <w:pPr>
        <w:jc w:val="both"/>
      </w:pPr>
      <w:r>
        <w:rPr>
          <w:sz w:val="20"/>
        </w:rPr>
        <w:t>Dėl Biržų rajono savivaldybės tarybos 2019 m. rugsėjo 26 d. sprendimo Nr. T-193 „Dėl Atlyginimo dydžio už vaikų, ugdomų pagal ikimokyklinio ir (ar) priešmokyklinio ugdymo programas, išlaikymą savivaldybės švietimo įstaigose nustatymo tvarkos aprašo patvirtinimo“ pakeitimo</w:t>
      </w:r>
    </w:p>
    <w:p w14:paraId="06820EBA" w14:textId="77777777" w:rsidR="0092284C" w:rsidRDefault="0092284C">
      <w:pPr>
        <w:jc w:val="both"/>
        <w:rPr>
          <w:sz w:val="20"/>
        </w:rPr>
      </w:pPr>
    </w:p>
    <w:p w14:paraId="467BA91F" w14:textId="77777777" w:rsidR="0092284C" w:rsidRDefault="0092284C">
      <w:pPr>
        <w:widowControl w:val="0"/>
        <w:rPr>
          <w:snapToGrid w:val="0"/>
        </w:rPr>
      </w:pPr>
    </w:p>
    <w:sectPr w:rsidR="0092284C">
      <w:pgSz w:w="11906" w:h="16838" w:code="9"/>
      <w:pgMar w:top="1134" w:right="567" w:bottom="567" w:left="1701" w:header="709"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F430" w14:textId="77777777" w:rsidR="00156049" w:rsidRDefault="00156049">
      <w:pPr>
        <w:suppressAutoHyphens/>
        <w:rPr>
          <w:lang w:eastAsia="zh-CN"/>
        </w:rPr>
      </w:pPr>
      <w:r>
        <w:rPr>
          <w:lang w:eastAsia="zh-CN"/>
        </w:rPr>
        <w:separator/>
      </w:r>
    </w:p>
  </w:endnote>
  <w:endnote w:type="continuationSeparator" w:id="0">
    <w:p w14:paraId="44A362A5" w14:textId="77777777" w:rsidR="00156049" w:rsidRDefault="00156049">
      <w:pPr>
        <w:suppressAutoHyphens/>
        <w:rPr>
          <w:lang w:eastAsia="zh-CN"/>
        </w:rPr>
      </w:pPr>
      <w:r>
        <w:rPr>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8A0A" w14:textId="77777777" w:rsidR="0092284C" w:rsidRDefault="0092284C">
    <w:pPr>
      <w:tabs>
        <w:tab w:val="center" w:pos="4819"/>
        <w:tab w:val="right" w:pos="9638"/>
      </w:tabs>
      <w:suppressAutoHyphens/>
      <w:rPr>
        <w:color w:val="00000A"/>
        <w:szCs w:val="2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9564" w14:textId="77777777" w:rsidR="0092284C" w:rsidRDefault="0092284C">
    <w:pPr>
      <w:tabs>
        <w:tab w:val="center" w:pos="4819"/>
        <w:tab w:val="right" w:pos="9638"/>
      </w:tabs>
      <w:suppressAutoHyphens/>
      <w:rPr>
        <w:color w:val="00000A"/>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B767" w14:textId="77777777" w:rsidR="00156049" w:rsidRDefault="00156049">
      <w:pPr>
        <w:suppressAutoHyphens/>
        <w:rPr>
          <w:lang w:eastAsia="zh-CN"/>
        </w:rPr>
      </w:pPr>
      <w:r>
        <w:rPr>
          <w:lang w:eastAsia="zh-CN"/>
        </w:rPr>
        <w:separator/>
      </w:r>
    </w:p>
  </w:footnote>
  <w:footnote w:type="continuationSeparator" w:id="0">
    <w:p w14:paraId="0ACE1930" w14:textId="77777777" w:rsidR="00156049" w:rsidRDefault="00156049">
      <w:pPr>
        <w:suppressAutoHyphens/>
        <w:rPr>
          <w:lang w:eastAsia="zh-CN"/>
        </w:rPr>
      </w:pPr>
      <w:r>
        <w:rPr>
          <w:lang w:eastAsia="zh-C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F767" w14:textId="77777777" w:rsidR="0092284C" w:rsidRDefault="00465858">
    <w:pPr>
      <w:suppressAutoHyphens/>
      <w:jc w:val="center"/>
      <w:rPr>
        <w:rFonts w:eastAsia="SimSun"/>
        <w:sz w:val="22"/>
        <w:szCs w:val="24"/>
        <w:lang w:eastAsia="zh-CN"/>
      </w:rPr>
    </w:pPr>
    <w:r>
      <w:rPr>
        <w:rFonts w:eastAsia="SimSun"/>
        <w:sz w:val="22"/>
        <w:szCs w:val="22"/>
        <w:lang w:eastAsia="zh-CN"/>
      </w:rPr>
      <w:fldChar w:fldCharType="begin"/>
    </w:r>
    <w:r>
      <w:rPr>
        <w:rFonts w:eastAsia="SimSun"/>
        <w:sz w:val="22"/>
        <w:szCs w:val="22"/>
        <w:lang w:eastAsia="zh-CN"/>
      </w:rPr>
      <w:instrText xml:space="preserve"> PAGE </w:instrText>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F048" w14:textId="77777777" w:rsidR="0092284C" w:rsidRDefault="0092284C">
    <w:pPr>
      <w:tabs>
        <w:tab w:val="center" w:pos="4986"/>
        <w:tab w:val="right" w:pos="9972"/>
      </w:tabs>
      <w:rPr>
        <w:rFonts w:eastAsia="SimSu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94"/>
    <w:rsid w:val="00156049"/>
    <w:rsid w:val="00415D94"/>
    <w:rsid w:val="00465858"/>
    <w:rsid w:val="005329DD"/>
    <w:rsid w:val="009228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F083AE"/>
  <w15:docId w15:val="{76675FFA-62C1-4D84-B272-F79F5713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tar.lt/portal/legalAct.html?documentId=d031c2a0392411eb8d9fe110e148c7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e-tar.lt/portal/legalAct.html?documentId=f7ab0810251711edb4cae1b158f98ea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egalAct.html?documentId=f7ab0810251711edb4cae1b158f98ea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tar.lt/portal/legalAct.html?documentId=d031c2a0392411eb8d9fe110e148c770" TargetMode="External"/><Relationship Id="rId5" Type="http://schemas.openxmlformats.org/officeDocument/2006/relationships/endnotes" Target="endnotes.xml"/><Relationship Id="rId15" Type="http://schemas.openxmlformats.org/officeDocument/2006/relationships/hyperlink" Target="https://www.e-tar.lt/portal/legalAct.html?documentId=d031c2a0392411eb8d9fe110e148c770"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d031c2a0392411eb8d9fe110e148c77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8961</Words>
  <Characters>5108</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Ubartas</dc:creator>
  <cp:lastModifiedBy>Marijonas Nemanis</cp:lastModifiedBy>
  <cp:revision>2</cp:revision>
  <cp:lastPrinted>2019-09-20T06:35:00Z</cp:lastPrinted>
  <dcterms:created xsi:type="dcterms:W3CDTF">2022-09-07T11:02:00Z</dcterms:created>
  <dcterms:modified xsi:type="dcterms:W3CDTF">2022-09-07T11:02:00Z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