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extended-properties" Target="docProps/app.xml"/>
  <Relationship Id="rId3" Type="http://schemas.openxmlformats.org/officeDocument/2006/relationships/officeDocument" Target="word/document.xml"/>
  <Relationship Id="rId4" Type="http://schemas.openxmlformats.org/package/2006/relationships/metadata/core-properties" Target="docProps/core.xml"/>
</Relationships>

</file>

<file path=word/document.xml><?xml version="1.0" encoding="utf-8"?>
<w:document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taisx="http://lrs.lt/TAIS/DocPartXmlMark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body>
    <w:p>
      <w:pPr>
        <w:jc w:val="both"/>
        <w:rPr>
          <w:rFonts w:ascii="Times New Roman" w:hAnsi="Times New Roman"/>
        </w:rPr>
      </w:pPr>
      <w:r>
        <w:rPr>
          <w:rFonts w:ascii="Times New Roman" w:hAnsi="Times New Roman"/>
          <w:b/>
          <w:i/>
        </w:rPr>
        <w:t>Suvestinė redakcija nuo 2024-03-30</w:t>
      </w:r>
    </w:p>
    <w:p>
      <w:pPr>
        <w:jc w:val="both"/>
        <w:rPr>
          <w:rFonts w:ascii="Times New Roman" w:hAnsi="Times New Roman"/>
          <w:sz w:val="20"/>
        </w:rPr>
      </w:pPr>
    </w:p>
    <w:p>
      <w:pPr>
        <w:jc w:val="both"/>
        <w:rPr>
          <w:rFonts w:ascii="Times New Roman" w:hAnsi="Times New Roman"/>
          <w:sz w:val="20"/>
        </w:rPr>
      </w:pPr>
      <w:bookmarkStart w:id="0" w:name="_GoBack"/>
      <w:bookmarkEnd w:id="0"/>
      <w:r>
        <w:rPr>
          <w:rFonts w:ascii="Times New Roman" w:hAnsi="Times New Roman"/>
          <w:sz w:val="20"/>
          <w:i/>
        </w:rPr>
        <w:t xml:space="preserve">Sprendimas paskelbtas: TAR 2021-03-26, i. k. 2021-05964</w:t>
      </w:r>
    </w:p>
    <w:p>
      <w:pPr>
        <w:jc w:val="both"/>
        <w:rPr>
          <w:rFonts w:ascii="Times New Roman" w:hAnsi="Times New Roman"/>
          <w:sz w:val="20"/>
        </w:rPr>
      </w:pPr>
    </w:p>
    <w:p>
      <w:pPr>
        <w:tabs>
          <w:tab w:val="center" w:pos="4819"/>
          <w:tab w:val="right" w:pos="9638"/>
        </w:tabs>
        <w:rPr>
          <w:szCs w:val="24"/>
          <w:lang w:eastAsia="lt-LT"/>
        </w:rPr>
      </w:pPr>
    </w:p>
    <w:p>
      <w:pPr>
        <w:jc w:val="center"/>
        <w:rPr>
          <w:szCs w:val="24"/>
        </w:rPr>
      </w:pPr>
      <w:r>
        <w:rPr>
          <w:szCs w:val="24"/>
          <w:lang w:eastAsia="lt-LT"/>
        </w:rPr>
        <w:drawing>
          <wp:inline distT="0" distB="0" distL="0" distR="0">
            <wp:extent cx="617220" cy="662940"/>
            <wp:effectExtent l="0" t="0" r="0" b="381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7220" cy="662940"/>
                    </a:xfrm>
                    <a:prstGeom prst="rect">
                      <a:avLst/>
                    </a:prstGeom>
                    <a:noFill/>
                    <a:ln>
                      <a:noFill/>
                    </a:ln>
                  </pic:spPr>
                </pic:pic>
              </a:graphicData>
            </a:graphic>
          </wp:inline>
        </w:drawing>
      </w:r>
    </w:p>
    <w:p>
      <w:pPr>
        <w:jc w:val="center"/>
        <w:rPr>
          <w:szCs w:val="24"/>
        </w:rPr>
      </w:pPr>
    </w:p>
    <w:p>
      <w:pPr>
        <w:keepNext/>
        <w:overflowPunct w:val="0"/>
        <w:jc w:val="center"/>
        <w:textAlignment w:val="baseline"/>
        <w:outlineLvl w:val="2"/>
        <w:rPr>
          <w:b/>
          <w:szCs w:val="24"/>
        </w:rPr>
      </w:pPr>
      <w:r>
        <w:rPr>
          <w:b/>
          <w:szCs w:val="24"/>
        </w:rPr>
        <w:t xml:space="preserve">BIRŽŲ RAJONO  SAVIVALDYBĖS TARYBA</w:t>
      </w:r>
    </w:p>
    <w:p>
      <w:pPr>
        <w:jc w:val="center"/>
        <w:rPr>
          <w:szCs w:val="24"/>
        </w:rPr>
      </w:pPr>
    </w:p>
    <w:p>
      <w:pPr>
        <w:jc w:val="center"/>
        <w:rPr>
          <w:szCs w:val="24"/>
        </w:rPr>
      </w:pPr>
    </w:p>
    <w:p>
      <w:pPr>
        <w:keepNext/>
        <w:overflowPunct w:val="0"/>
        <w:jc w:val="center"/>
        <w:textAlignment w:val="baseline"/>
        <w:outlineLvl w:val="2"/>
        <w:rPr>
          <w:b/>
          <w:szCs w:val="24"/>
        </w:rPr>
      </w:pPr>
      <w:r>
        <w:rPr>
          <w:b/>
          <w:szCs w:val="24"/>
        </w:rPr>
        <w:t>SPRENDIMAS</w:t>
      </w:r>
    </w:p>
    <w:p>
      <w:pPr>
        <w:keepNext/>
        <w:overflowPunct w:val="0"/>
        <w:jc w:val="center"/>
        <w:textAlignment w:val="baseline"/>
        <w:outlineLvl w:val="3"/>
        <w:rPr>
          <w:b/>
          <w:szCs w:val="24"/>
        </w:rPr>
      </w:pPr>
      <w:r>
        <w:rPr>
          <w:b/>
          <w:szCs w:val="24"/>
        </w:rPr>
        <w:t xml:space="preserve">DĖL VIETINĖS RINKLIAVOS UŽ LEIDIMO PREKIAUTI AR TEIKTI PASLAUGAS  BIRŽŲ RAJONO SAVIVALDYBĖS VIEŠOSIOSE VIETOSE  IŠDAVIMĄ NUOSTATŲ PATVIRTINIMO </w:t>
      </w:r>
    </w:p>
    <w:p>
      <w:pPr>
        <w:keepNext/>
        <w:overflowPunct w:val="0"/>
        <w:jc w:val="center"/>
        <w:textAlignment w:val="baseline"/>
        <w:outlineLvl w:val="3"/>
        <w:rPr>
          <w:b/>
          <w:szCs w:val="24"/>
        </w:rPr>
      </w:pPr>
    </w:p>
    <w:p>
      <w:pPr>
        <w:keepNext/>
        <w:overflowPunct w:val="0"/>
        <w:jc w:val="center"/>
        <w:textAlignment w:val="baseline"/>
        <w:outlineLvl w:val="3"/>
        <w:rPr>
          <w:szCs w:val="24"/>
        </w:rPr>
      </w:pPr>
      <w:r>
        <w:rPr>
          <w:szCs w:val="24"/>
        </w:rPr>
        <w:t xml:space="preserve">2021 m. kovo 26 d. Nr. </w:t>
      </w:r>
      <w:r>
        <w:t>T-98</w:t>
      </w:r>
    </w:p>
    <w:p>
      <w:pPr>
        <w:keepNext/>
        <w:overflowPunct w:val="0"/>
        <w:jc w:val="center"/>
        <w:textAlignment w:val="baseline"/>
        <w:outlineLvl w:val="3"/>
        <w:rPr>
          <w:szCs w:val="24"/>
        </w:rPr>
      </w:pPr>
      <w:r>
        <w:rPr>
          <w:szCs w:val="24"/>
        </w:rPr>
        <w:t>Biržai</w:t>
      </w:r>
    </w:p>
    <w:p>
      <w:pPr>
        <w:jc w:val="center"/>
        <w:rPr>
          <w:szCs w:val="24"/>
        </w:rPr>
      </w:pPr>
    </w:p>
    <w:p>
      <w:pPr>
        <w:jc w:val="center"/>
      </w:pPr>
    </w:p>
    <w:p>
      <w:pPr>
        <w:ind w:firstLine="709"/>
        <w:jc w:val="both"/>
        <w:rPr>
          <w:szCs w:val="24"/>
        </w:rPr>
      </w:pPr>
      <w:r>
        <w:rPr>
          <w:szCs w:val="24"/>
        </w:rPr>
        <w:t xml:space="preserve">Vadovaudamasi  Lietuvos  Respublikos  vietos   savivaldos  įstatymo  16 straipsnio 2  dalies  37  punktu,  18  straipsnio 1  dalimi,   Lietuvos  Respublikos  rinkliavų   įstatymo 11 straipsnio  1   dalies  2  punktu,  12  ir  13 straipsniais,  Biržų  rajono  savivaldybės  taryba  n u s p r e n d ž i a:</w:t>
      </w:r>
    </w:p>
    <w:p>
      <w:pPr>
        <w:ind w:firstLine="709"/>
        <w:jc w:val="both"/>
        <w:rPr>
          <w:szCs w:val="24"/>
        </w:rPr>
      </w:pPr>
      <w:r>
        <w:rPr>
          <w:szCs w:val="24"/>
        </w:rPr>
        <w:t>1</w:t>
      </w:r>
      <w:r>
        <w:rPr>
          <w:szCs w:val="24"/>
        </w:rPr>
        <w:t xml:space="preserve">. Patvirtinti Vietinės rinkliavos už leidimo prekiauti ar teikti paslaugas Biržų rajono savivaldybės viešosiose vietose išdavimą nuostatus (pridedama). </w:t>
      </w:r>
    </w:p>
    <w:p>
      <w:pPr>
        <w:ind w:firstLine="720"/>
        <w:jc w:val="both"/>
        <w:rPr>
          <w:szCs w:val="24"/>
        </w:rPr>
      </w:pPr>
      <w:r>
        <w:rPr>
          <w:szCs w:val="24"/>
        </w:rPr>
        <w:t>2</w:t>
      </w:r>
      <w:r>
        <w:rPr>
          <w:szCs w:val="24"/>
        </w:rPr>
        <w:t>. Pripažinti netekusiais galios Biržų rajono savivaldybės tarybos:</w:t>
      </w:r>
    </w:p>
    <w:p>
      <w:pPr>
        <w:ind w:firstLine="720"/>
        <w:jc w:val="both"/>
        <w:rPr>
          <w:szCs w:val="24"/>
        </w:rPr>
      </w:pPr>
      <w:r>
        <w:rPr>
          <w:szCs w:val="24"/>
        </w:rPr>
        <w:t>2.1</w:t>
      </w:r>
      <w:r>
        <w:rPr>
          <w:szCs w:val="24"/>
        </w:rPr>
        <w:t>. 2015 m. rugpjūčio 27 d. sprendimo Nr. T-164 „Dėl vietinių rinkliavų“ 1.1 papunktį;</w:t>
      </w:r>
    </w:p>
    <w:p>
      <w:pPr>
        <w:ind w:firstLine="720"/>
        <w:jc w:val="both"/>
        <w:rPr>
          <w:szCs w:val="24"/>
        </w:rPr>
      </w:pPr>
      <w:r>
        <w:rPr>
          <w:szCs w:val="24"/>
        </w:rPr>
        <w:t>2.2</w:t>
      </w:r>
      <w:r>
        <w:rPr>
          <w:szCs w:val="24"/>
        </w:rPr>
        <w:t xml:space="preserve">.  2016 m. sausio 28 d. sprendimo Nr. T-2 „Dėl vietinių rinkliavų nuostatų“ 1.1 papunktį;</w:t>
      </w:r>
    </w:p>
    <w:p>
      <w:pPr>
        <w:ind w:firstLine="720"/>
        <w:jc w:val="both"/>
        <w:rPr>
          <w:szCs w:val="24"/>
        </w:rPr>
      </w:pPr>
      <w:r>
        <w:rPr>
          <w:szCs w:val="24"/>
        </w:rPr>
        <w:t>2.3</w:t>
      </w:r>
      <w:r>
        <w:rPr>
          <w:szCs w:val="24"/>
        </w:rPr>
        <w:t xml:space="preserve">.  2017 m. liepos 5 d.  sprendimą Nr. T-130  „Dėl  Biržų rajono  savivaldybės tarybos 2015  m. rugpjūčio 27 d. sprendimo Nr. T-164 „Dėl vietinių rinkliavų“ pakeitimo;</w:t>
      </w:r>
    </w:p>
    <w:p>
      <w:pPr>
        <w:ind w:firstLine="720"/>
        <w:jc w:val="both"/>
        <w:rPr>
          <w:rFonts w:eastAsia="Calibri"/>
          <w:szCs w:val="24"/>
        </w:rPr>
      </w:pPr>
      <w:r>
        <w:rPr>
          <w:szCs w:val="24"/>
        </w:rPr>
        <w:t>2.4</w:t>
      </w:r>
      <w:r>
        <w:rPr>
          <w:szCs w:val="24"/>
        </w:rPr>
        <w:t>. 2020 m. rugsėjo 29 d. sprendimą Nr. T-222 „Dėl Vietinės rinkliavos už leidimo prekiauti ar teikti paslaugas Biržų rajono savivaldybės tarybos nustatytose viešosiose vietose išdavimą nuostatų pakeitimo“.</w:t>
      </w:r>
    </w:p>
    <w:p>
      <w:pPr>
        <w:overflowPunct w:val="0"/>
        <w:jc w:val="both"/>
        <w:textAlignment w:val="baseline"/>
      </w:pPr>
    </w:p>
    <w:p>
      <w:pPr>
        <w:overflowPunct w:val="0"/>
        <w:jc w:val="both"/>
        <w:textAlignment w:val="baseline"/>
      </w:pPr>
    </w:p>
    <w:p>
      <w:pPr>
        <w:overflowPunct w:val="0"/>
        <w:jc w:val="both"/>
        <w:textAlignment w:val="baseline"/>
      </w:pPr>
    </w:p>
    <w:p>
      <w:pPr>
        <w:overflowPunct w:val="0"/>
        <w:jc w:val="both"/>
        <w:textAlignment w:val="baseline"/>
        <w:rPr>
          <w:szCs w:val="24"/>
        </w:rPr>
      </w:pPr>
      <w:r>
        <w:rPr>
          <w:szCs w:val="24"/>
        </w:rPr>
        <w:t>Savivaldybės meras</w:t>
        <w:tab/>
        <w:tab/>
        <w:tab/>
        <w:tab/>
        <w:tab/>
        <w:tab/>
        <w:tab/>
        <w:tab/>
        <w:tab/>
        <w:t xml:space="preserve">    Vytas Jareckas</w:t>
      </w:r>
    </w:p>
    <w:p>
      <w:pPr>
        <w:overflowPunct w:val="0"/>
        <w:textAlignment w:val="baseline"/>
        <w:rPr>
          <w:szCs w:val="24"/>
        </w:rPr>
        <w:sectPr>
          <w:headerReference w:type="even" r:id="rId15"/>
          <w:headerReference w:type="default" r:id="rId16"/>
          <w:footerReference w:type="even" r:id="rId17"/>
          <w:footerReference w:type="default" r:id="rId18"/>
          <w:headerReference w:type="first" r:id="rId19"/>
          <w:footerReference w:type="first" r:id="rId20"/>
          <w:pgSz w:w="11907" w:h="16840" w:code="9"/>
          <w:pgMar w:top="1134" w:right="567" w:bottom="1134" w:left="1701" w:header="567" w:footer="567" w:gutter="0"/>
          <w:pgNumType w:start="1"/>
          <w:cols w:space="1296"/>
          <w:titlePg/>
          <w:docGrid w:linePitch="326"/>
        </w:sectPr>
      </w:pPr>
    </w:p>
    <w:p>
      <w:pPr>
        <w:ind w:firstLine="5760"/>
        <w:rPr>
          <w:szCs w:val="24"/>
          <w:lang w:eastAsia="lt-LT"/>
        </w:rPr>
      </w:pPr>
      <w:r>
        <w:rPr>
          <w:szCs w:val="24"/>
          <w:lang w:eastAsia="lt-LT"/>
        </w:rPr>
        <w:t>PATVIRTINTA</w:t>
      </w:r>
    </w:p>
    <w:p>
      <w:pPr>
        <w:ind w:firstLine="5760"/>
        <w:jc w:val="both"/>
        <w:rPr>
          <w:szCs w:val="24"/>
          <w:lang w:eastAsia="lt-LT"/>
        </w:rPr>
      </w:pPr>
      <w:r>
        <w:rPr>
          <w:szCs w:val="24"/>
          <w:lang w:eastAsia="lt-LT"/>
        </w:rPr>
        <w:t xml:space="preserve">Biržų rajono savivaldybės tarybos </w:t>
      </w:r>
    </w:p>
    <w:p>
      <w:pPr>
        <w:ind w:firstLine="5760"/>
        <w:jc w:val="both"/>
        <w:rPr>
          <w:szCs w:val="24"/>
          <w:lang w:eastAsia="lt-LT"/>
        </w:rPr>
      </w:pPr>
      <w:r>
        <w:rPr>
          <w:szCs w:val="24"/>
          <w:lang w:eastAsia="lt-LT"/>
        </w:rPr>
        <w:t xml:space="preserve">2021 m. kovo 26 d. sprendimu Nr. </w:t>
      </w:r>
      <w:r>
        <w:t>T-98</w:t>
      </w:r>
    </w:p>
    <w:p>
      <w:pPr>
        <w:jc w:val="both"/>
        <w:rPr>
          <w:b/>
          <w:szCs w:val="24"/>
          <w:lang w:eastAsia="lt-LT"/>
        </w:rPr>
      </w:pPr>
    </w:p>
    <w:p>
      <w:pPr>
        <w:keepNext/>
        <w:jc w:val="center"/>
        <w:outlineLvl w:val="2"/>
        <w:rPr>
          <w:b/>
          <w:szCs w:val="24"/>
          <w:lang w:eastAsia="lt-LT"/>
        </w:rPr>
      </w:pPr>
      <w:r>
        <w:rPr>
          <w:b/>
          <w:szCs w:val="24"/>
          <w:lang w:eastAsia="lt-LT"/>
        </w:rPr>
        <w:t xml:space="preserve">VIETINĖS RINKLIAVOS  UŽ  LEIDIMO PREKIAUTI  AR TEIKTI PASLAUGAS BIRŽŲ RAJONO SAVIVALDYBĖS VIEŠOSIOSE VIETOSE IŠDAVIMĄ NUOSTATAI</w:t>
      </w:r>
    </w:p>
    <w:p>
      <w:pPr>
        <w:jc w:val="both"/>
        <w:rPr>
          <w:b/>
          <w:szCs w:val="24"/>
          <w:lang w:eastAsia="lt-LT"/>
        </w:rPr>
      </w:pPr>
    </w:p>
    <w:p>
      <w:pPr>
        <w:keepNext/>
        <w:jc w:val="center"/>
        <w:outlineLvl w:val="3"/>
        <w:rPr>
          <w:b/>
          <w:szCs w:val="24"/>
          <w:lang w:eastAsia="lt-LT"/>
        </w:rPr>
      </w:pPr>
      <w:r>
        <w:rPr>
          <w:b/>
          <w:szCs w:val="24"/>
          <w:lang w:eastAsia="lt-LT"/>
        </w:rPr>
        <w:t>I</w:t>
      </w:r>
      <w:r>
        <w:rPr>
          <w:b/>
          <w:szCs w:val="24"/>
          <w:lang w:eastAsia="lt-LT"/>
        </w:rPr>
        <w:t xml:space="preserve"> SKYRIUS</w:t>
      </w:r>
    </w:p>
    <w:p>
      <w:pPr>
        <w:keepNext/>
        <w:ind w:firstLine="62"/>
        <w:jc w:val="center"/>
        <w:outlineLvl w:val="3"/>
        <w:rPr>
          <w:b/>
          <w:szCs w:val="24"/>
          <w:lang w:eastAsia="lt-LT"/>
        </w:rPr>
      </w:pPr>
      <w:r>
        <w:rPr>
          <w:b/>
          <w:szCs w:val="24"/>
          <w:lang w:eastAsia="lt-LT"/>
        </w:rPr>
        <w:t>BENDROSIOS NUOSTATOS</w:t>
      </w:r>
    </w:p>
    <w:p>
      <w:pPr>
        <w:jc w:val="both"/>
        <w:rPr>
          <w:szCs w:val="24"/>
          <w:lang w:eastAsia="lt-LT"/>
        </w:rPr>
      </w:pPr>
    </w:p>
    <w:p>
      <w:pPr>
        <w:ind w:firstLine="720"/>
        <w:jc w:val="both"/>
        <w:rPr>
          <w:szCs w:val="24"/>
          <w:lang w:eastAsia="lt-LT"/>
        </w:rPr>
      </w:pPr>
      <w:r>
        <w:rPr>
          <w:szCs w:val="24"/>
          <w:lang w:eastAsia="lt-LT"/>
        </w:rPr>
        <w:t>1</w:t>
      </w:r>
      <w:r>
        <w:rPr>
          <w:szCs w:val="24"/>
          <w:lang w:eastAsia="lt-LT"/>
        </w:rPr>
        <w:t xml:space="preserve">. Vietinės rinkliavos už leidimo prekiauti ar teikti paslaugas Biržų rajono savivaldybės (toliau – Savivaldybė) viešosiose vietose išdavimą (toliau – Vietinė rinkliava) nuostatai (toliau – Nuostatai) reglamentuoja Vietinės rinkliavos rinkimo už leidimo prekiauti ar teikti paslaugas viešosiose vietose išdavimą (toliau – Leidimas) tvarką, dydžius, lengvatas Vietinės rinkliavos mokėtojams, grąžinimo tvarką, rinkimo kontrolę ir atsakomybę. </w:t>
      </w:r>
    </w:p>
    <w:p>
      <w:pPr>
        <w:ind w:firstLine="720"/>
        <w:jc w:val="both"/>
        <w:rPr>
          <w:szCs w:val="24"/>
          <w:lang w:eastAsia="lt-LT"/>
        </w:rPr>
      </w:pPr>
      <w:r>
        <w:rPr>
          <w:szCs w:val="24"/>
          <w:lang w:eastAsia="lt-LT"/>
        </w:rPr>
        <w:t>2</w:t>
      </w:r>
      <w:r>
        <w:rPr>
          <w:szCs w:val="24"/>
          <w:lang w:eastAsia="lt-LT"/>
        </w:rPr>
        <w:t>. Nuostatai parengti vadovaujantis Lietuvos Respublikos rinkliavų įstatymu ir galioja visoje Savivaldybės teritorijoje.</w:t>
      </w:r>
    </w:p>
    <w:p>
      <w:pPr>
        <w:ind w:firstLine="720"/>
        <w:jc w:val="both"/>
        <w:rPr>
          <w:rFonts w:eastAsia="Microsoft Sans Serif"/>
          <w:color w:val="000000"/>
          <w:szCs w:val="24"/>
          <w:lang w:eastAsia="lt-LT" w:bidi="lt-LT"/>
        </w:rPr>
      </w:pPr>
      <w:r>
        <w:rPr>
          <w:szCs w:val="24"/>
          <w:lang w:eastAsia="lt-LT"/>
        </w:rPr>
        <w:t>3</w:t>
      </w:r>
      <w:r>
        <w:rPr>
          <w:szCs w:val="24"/>
          <w:lang w:eastAsia="lt-LT"/>
        </w:rPr>
        <w:t xml:space="preserve">. Vietinės rinkliavos mokėtojai  yra fiziniai ir juridiniai asmenys,</w:t>
      </w:r>
      <w:r>
        <w:rPr>
          <w:rFonts w:eastAsia="Microsoft Sans Serif"/>
          <w:color w:val="000000"/>
          <w:szCs w:val="24"/>
          <w:lang w:eastAsia="lt-LT" w:bidi="lt-LT"/>
        </w:rPr>
        <w:t xml:space="preserve"> kuriems pagal Lietuvos Respublikos teisės aktus leista prekiauti ar teikti paslaugas (</w:t>
      </w:r>
      <w:r>
        <w:rPr>
          <w:rFonts w:eastAsia="Calibri"/>
          <w:szCs w:val="24"/>
          <w:lang w:eastAsia="ar-SA"/>
        </w:rPr>
        <w:t>įsigijusieji verslo liudijimą,</w:t>
      </w:r>
      <w:r>
        <w:rPr>
          <w:rFonts w:eastAsia="Microsoft Sans Serif"/>
          <w:color w:val="000000"/>
          <w:szCs w:val="24"/>
          <w:lang w:eastAsia="lt-LT" w:bidi="lt-LT"/>
        </w:rPr>
        <w:t xml:space="preserve"> </w:t>
      </w:r>
      <w:r>
        <w:rPr>
          <w:rFonts w:eastAsia="Calibri"/>
          <w:szCs w:val="24"/>
          <w:lang w:eastAsia="ar-SA"/>
        </w:rPr>
        <w:t>individualios veiklos vykdymo pažymą, o teikiantieji viešojo maitinimo paslaugas ar vykdantys prekybą maisto produktais – registruoti Maisto tvarkymo subjektų sąraše ir (ar) kt.).</w:t>
      </w:r>
    </w:p>
    <w:p>
      <w:pPr>
        <w:ind w:firstLine="720"/>
        <w:jc w:val="both"/>
        <w:rPr>
          <w:szCs w:val="24"/>
          <w:lang w:eastAsia="lt-LT"/>
        </w:rPr>
      </w:pPr>
      <w:r>
        <w:rPr>
          <w:szCs w:val="24"/>
          <w:lang w:eastAsia="lt-LT"/>
        </w:rPr>
        <w:t>4</w:t>
      </w:r>
      <w:r>
        <w:rPr>
          <w:szCs w:val="24"/>
          <w:lang w:eastAsia="lt-LT"/>
        </w:rPr>
        <w:t>. Vietinė rinkliava netaikoma asmenims, prekiaujantiems nuomojamose ir privačiose valdose (kai mokamas žemės arba žemės nuomos mokestis) bei prekyvietėse.</w:t>
      </w:r>
    </w:p>
    <w:p>
      <w:pPr>
        <w:ind w:firstLine="720"/>
        <w:jc w:val="both"/>
        <w:rPr>
          <w:szCs w:val="24"/>
          <w:lang w:eastAsia="lt-LT"/>
        </w:rPr>
      </w:pPr>
      <w:r>
        <w:rPr>
          <w:szCs w:val="24"/>
          <w:lang w:eastAsia="lt-LT"/>
        </w:rPr>
        <w:t>5</w:t>
      </w:r>
      <w:r>
        <w:rPr>
          <w:szCs w:val="24"/>
          <w:lang w:eastAsia="lt-LT"/>
        </w:rPr>
        <w:t>. Nuostatuose vartojamos sąvokos:</w:t>
      </w:r>
    </w:p>
    <w:p>
      <w:pPr>
        <w:ind w:firstLine="720"/>
        <w:jc w:val="both"/>
        <w:rPr>
          <w:szCs w:val="24"/>
          <w:lang w:eastAsia="lt-LT"/>
        </w:rPr>
      </w:pPr>
      <w:r>
        <w:rPr>
          <w:szCs w:val="24"/>
          <w:lang w:eastAsia="lt-LT"/>
        </w:rPr>
        <w:t>5.1</w:t>
      </w:r>
      <w:r>
        <w:rPr>
          <w:szCs w:val="24"/>
          <w:lang w:eastAsia="lt-LT"/>
        </w:rPr>
        <w:t xml:space="preserve">. viešoji vieta – savivaldybės teritorijoje esanti savivaldybei ar valstybei nuosavybės teise priklausanti ar patikėjimo teise valdoma teritorija (išskyrus išnuomotą ar perduotą naudotis teritoriją), kurioje teikiamos paslaugos, taip pat vykdoma prekyba nuo (iš) laikinųjų prekybos įrenginių,  kioskų, paviljonų, prekybai pritaikytų automobilių ar priekabų, lauko kavinių; </w:t>
      </w:r>
    </w:p>
    <w:p>
      <w:pPr>
        <w:ind w:firstLine="720"/>
        <w:jc w:val="both"/>
        <w:rPr>
          <w:szCs w:val="24"/>
          <w:lang w:eastAsia="lt-LT"/>
        </w:rPr>
      </w:pPr>
      <w:r>
        <w:rPr>
          <w:szCs w:val="24"/>
          <w:lang w:eastAsia="lt-LT"/>
        </w:rPr>
        <w:t>5.2</w:t>
      </w:r>
      <w:r>
        <w:rPr>
          <w:szCs w:val="24"/>
          <w:lang w:eastAsia="lt-LT"/>
        </w:rPr>
        <w:t xml:space="preserve">. masinis renginys – šventė, festivalis ar kitas didelei žmonių grupei skirtas renginys, kurį organizuoja valstybės ar savivaldybių institucijos ar įstaigos, fiziniai asmenys, juridiniai asmenys, suderinę renginio laiką ar jo organizavimo tvarką su reikiamomis savivaldybės institucijomis; </w:t>
      </w:r>
    </w:p>
    <w:p>
      <w:pPr>
        <w:ind w:firstLine="720"/>
        <w:jc w:val="both"/>
        <w:rPr>
          <w:color w:val="000000"/>
          <w:szCs w:val="24"/>
          <w:lang w:eastAsia="lt-LT"/>
        </w:rPr>
      </w:pPr>
      <w:r>
        <w:rPr>
          <w:szCs w:val="24"/>
          <w:lang w:eastAsia="lt-LT"/>
        </w:rPr>
        <w:t>5.3</w:t>
      </w:r>
      <w:r>
        <w:rPr>
          <w:szCs w:val="24"/>
          <w:lang w:eastAsia="lt-LT"/>
        </w:rPr>
        <w:t xml:space="preserve">. viena vieta – iki 9 kv. m ploto teritorija arba 1 automobilio stovėjimo vieta automobilių stovėjimo aikštelėje prekybai ar paslaugai (išskyrus laisvalaikio ir pramogų paslaugas) teikti; </w:t>
      </w:r>
      <w:r>
        <w:rPr>
          <w:color w:val="000000"/>
          <w:szCs w:val="24"/>
          <w:lang w:eastAsia="lt-LT"/>
        </w:rPr>
        <w:t xml:space="preserve">iki 20 kv. m ploto teritorija laisvalaikio ar pramogų paslaugai teikti; iki 20 m. ilgio vandens telkinio pakrantė vandens plaukiojimo priemonių nuomai, statant priemones ne daugiau kaip 2 eilėmis. </w:t>
      </w:r>
    </w:p>
    <w:p>
      <w:pPr>
        <w:ind w:firstLine="720"/>
        <w:jc w:val="both"/>
        <w:rPr>
          <w:szCs w:val="24"/>
          <w:lang w:eastAsia="lt-LT"/>
        </w:rPr>
      </w:pPr>
      <w:r>
        <w:rPr>
          <w:szCs w:val="24"/>
          <w:lang w:eastAsia="lt-LT"/>
        </w:rPr>
        <w:t xml:space="preserve">Kitos nuostatuose vartojamos sąvokos atitinka Lietuvos Respublikos rinkliavų įstatyme ir kituose teisės aktuose apibrėžtas sąvokas. </w:t>
      </w:r>
    </w:p>
    <w:p>
      <w:pPr>
        <w:jc w:val="both"/>
        <w:rPr>
          <w:szCs w:val="24"/>
          <w:lang w:eastAsia="lt-LT"/>
        </w:rPr>
      </w:pPr>
    </w:p>
    <w:p>
      <w:pPr>
        <w:keepNext/>
        <w:ind w:firstLine="720"/>
        <w:jc w:val="center"/>
        <w:outlineLvl w:val="1"/>
        <w:rPr>
          <w:b/>
          <w:szCs w:val="24"/>
          <w:lang w:eastAsia="lt-LT"/>
        </w:rPr>
      </w:pPr>
      <w:r>
        <w:rPr>
          <w:b/>
          <w:szCs w:val="24"/>
          <w:lang w:eastAsia="lt-LT"/>
        </w:rPr>
        <w:t>II</w:t>
      </w:r>
      <w:r>
        <w:rPr>
          <w:b/>
          <w:szCs w:val="24"/>
          <w:lang w:eastAsia="lt-LT"/>
        </w:rPr>
        <w:t xml:space="preserve"> SKYRIUS</w:t>
      </w:r>
    </w:p>
    <w:p>
      <w:pPr>
        <w:keepNext/>
        <w:ind w:firstLine="782"/>
        <w:jc w:val="center"/>
        <w:outlineLvl w:val="1"/>
        <w:rPr>
          <w:b/>
          <w:szCs w:val="24"/>
          <w:lang w:eastAsia="lt-LT"/>
        </w:rPr>
      </w:pPr>
      <w:r>
        <w:rPr>
          <w:b/>
          <w:szCs w:val="24"/>
          <w:lang w:eastAsia="lt-LT"/>
        </w:rPr>
        <w:t xml:space="preserve">VIETINĖS RINKLIAVOS OBJEKTAI IR  DYDŽIAI</w:t>
      </w:r>
    </w:p>
    <w:p>
      <w:pPr>
        <w:ind w:firstLine="720"/>
        <w:jc w:val="both"/>
        <w:rPr>
          <w:szCs w:val="24"/>
          <w:u w:val="single"/>
          <w:lang w:eastAsia="lt-LT"/>
        </w:rPr>
      </w:pPr>
    </w:p>
    <w:p>
      <w:pPr>
        <w:suppressAutoHyphens/>
        <w:ind w:firstLine="709"/>
        <w:jc w:val="both"/>
        <w:rPr>
          <w:rFonts w:eastAsia="Calibri"/>
          <w:szCs w:val="24"/>
          <w:lang w:eastAsia="ar-SA"/>
        </w:rPr>
      </w:pPr>
      <w:r>
        <w:rPr>
          <w:szCs w:val="24"/>
          <w:lang w:eastAsia="lt-LT"/>
        </w:rPr>
        <w:t>6</w:t>
      </w:r>
      <w:r>
        <w:rPr>
          <w:szCs w:val="24"/>
          <w:lang w:eastAsia="lt-LT"/>
        </w:rPr>
        <w:t xml:space="preserve">. </w:t>
      </w:r>
      <w:r>
        <w:rPr>
          <w:rFonts w:eastAsia="Calibri"/>
          <w:szCs w:val="24"/>
          <w:lang w:eastAsia="ar-SA"/>
        </w:rPr>
        <w:t xml:space="preserve">Nustatomi vietinės rinkliavos dydžiai už Leidimo išdavimą  nurodyti Nuostatų priede.</w:t>
      </w:r>
    </w:p>
    <w:p>
      <w:pPr>
        <w:ind w:firstLine="720"/>
        <w:jc w:val="both"/>
        <w:rPr>
          <w:szCs w:val="24"/>
          <w:lang w:eastAsia="lt-LT"/>
        </w:rPr>
      </w:pPr>
      <w:r>
        <w:rPr>
          <w:szCs w:val="24"/>
          <w:lang w:eastAsia="lt-LT"/>
        </w:rPr>
        <w:t>7</w:t>
      </w:r>
      <w:r>
        <w:rPr>
          <w:szCs w:val="24"/>
          <w:lang w:eastAsia="lt-LT"/>
        </w:rPr>
        <w:t xml:space="preserve">. Vietinės rinkliavos dydį Savivaldybės taryba gali kartą per metus indeksuoti, taikydama metinį vartojimo kainų indeksą, jeigu jis didesnis kaip 1,1. </w:t>
      </w:r>
    </w:p>
    <w:p>
      <w:pPr>
        <w:keepNext/>
        <w:jc w:val="both"/>
        <w:rPr>
          <w:b/>
          <w:szCs w:val="24"/>
          <w:u w:val="single"/>
          <w:lang w:eastAsia="lt-LT"/>
        </w:rPr>
      </w:pPr>
    </w:p>
    <w:p>
      <w:pPr>
        <w:keepNext/>
        <w:jc w:val="center"/>
        <w:rPr>
          <w:b/>
          <w:szCs w:val="24"/>
          <w:lang w:eastAsia="lt-LT"/>
        </w:rPr>
      </w:pPr>
      <w:r>
        <w:rPr>
          <w:b/>
          <w:szCs w:val="24"/>
          <w:lang w:eastAsia="lt-LT"/>
        </w:rPr>
        <w:t>III</w:t>
      </w:r>
      <w:r>
        <w:rPr>
          <w:b/>
          <w:szCs w:val="24"/>
          <w:lang w:eastAsia="lt-LT"/>
        </w:rPr>
        <w:t xml:space="preserve"> SKYRIUS</w:t>
      </w:r>
    </w:p>
    <w:p>
      <w:pPr>
        <w:keepNext/>
        <w:ind w:firstLine="62"/>
        <w:jc w:val="center"/>
        <w:rPr>
          <w:b/>
          <w:szCs w:val="24"/>
          <w:lang w:eastAsia="lt-LT"/>
        </w:rPr>
      </w:pPr>
      <w:r>
        <w:rPr>
          <w:b/>
          <w:szCs w:val="24"/>
          <w:lang w:eastAsia="lt-LT"/>
        </w:rPr>
        <w:t>VIETINĖS RINKLIAVOS RINKIMO IR GRĄŽINIMO TVARKA</w:t>
      </w:r>
    </w:p>
    <w:p>
      <w:pPr>
        <w:rPr>
          <w:szCs w:val="24"/>
          <w:lang w:eastAsia="lt-LT"/>
        </w:rPr>
      </w:pPr>
    </w:p>
    <w:p>
      <w:pPr>
        <w:ind w:firstLine="720"/>
        <w:jc w:val="both"/>
        <w:rPr>
          <w:szCs w:val="24"/>
          <w:lang w:eastAsia="lt-LT"/>
        </w:rPr>
      </w:pPr>
      <w:r>
        <w:rPr>
          <w:szCs w:val="24"/>
          <w:lang w:eastAsia="lt-LT"/>
        </w:rPr>
        <w:t>8</w:t>
      </w:r>
      <w:r>
        <w:rPr>
          <w:szCs w:val="24"/>
          <w:lang w:eastAsia="lt-LT"/>
        </w:rPr>
        <w:t>. Vietinė rinkliava mokama eurais ir įskaitoma į Savivaldybės biudžetą.</w:t>
      </w:r>
    </w:p>
    <w:p>
      <w:pPr>
        <w:ind w:firstLine="720"/>
        <w:jc w:val="both"/>
        <w:rPr>
          <w:szCs w:val="24"/>
          <w:lang w:eastAsia="lt-LT"/>
        </w:rPr>
      </w:pPr>
      <w:r>
        <w:rPr>
          <w:szCs w:val="24"/>
          <w:lang w:eastAsia="lt-LT"/>
        </w:rPr>
        <w:t>9</w:t>
      </w:r>
      <w:r>
        <w:rPr>
          <w:szCs w:val="24"/>
          <w:lang w:eastAsia="lt-LT"/>
        </w:rPr>
        <w:t xml:space="preserve">. Vietinė rinkliava mokama į Biržų rajono savivaldybės administracijos sąskaitą nurodant mokėjimo paskirtį „Už leidimo prekiauti ar teikti paslaugas viešosiose vietose išdavimą“. Vietinė rinkliava sumokama prieš išduodant leidimą prekiauti ar teikti paslaugas.  </w:t>
      </w:r>
    </w:p>
    <w:p>
      <w:pPr>
        <w:ind w:firstLine="720"/>
        <w:jc w:val="both"/>
        <w:rPr>
          <w:szCs w:val="24"/>
          <w:lang w:eastAsia="lt-LT"/>
        </w:rPr>
      </w:pPr>
      <w:r>
        <w:rPr>
          <w:szCs w:val="24"/>
          <w:lang w:eastAsia="lt-LT"/>
        </w:rPr>
        <w:t>10</w:t>
      </w:r>
      <w:r>
        <w:rPr>
          <w:szCs w:val="24"/>
          <w:lang w:eastAsia="lt-LT"/>
        </w:rPr>
        <w:t>. Leidimus prekiauti ar teikti paslaugas išduoda seniūnijos. Išduoti leidimai registruojami Leidimų registre.</w:t>
      </w:r>
    </w:p>
    <w:p>
      <w:pPr>
        <w:ind w:firstLine="720"/>
        <w:jc w:val="both"/>
        <w:rPr>
          <w:szCs w:val="24"/>
          <w:lang w:eastAsia="lt-LT"/>
        </w:rPr>
      </w:pPr>
      <w:r>
        <w:rPr>
          <w:szCs w:val="24"/>
          <w:lang w:eastAsia="lt-LT"/>
        </w:rPr>
        <w:t>11</w:t>
      </w:r>
      <w:r>
        <w:rPr>
          <w:szCs w:val="24"/>
          <w:lang w:eastAsia="lt-LT"/>
        </w:rPr>
        <w:t xml:space="preserve">. Prieš išduodant leidimą naudotis viešo naudojimo objektais, kuriuos valdytojo teise valdo įstaigos, būtina suderinti su šiomis įstaigomis. </w:t>
      </w:r>
    </w:p>
    <w:p>
      <w:pPr>
        <w:ind w:firstLine="720"/>
        <w:jc w:val="both"/>
        <w:rPr>
          <w:szCs w:val="24"/>
          <w:lang w:eastAsia="lt-LT"/>
        </w:rPr>
      </w:pPr>
      <w:r>
        <w:rPr>
          <w:szCs w:val="24"/>
          <w:lang w:eastAsia="lt-LT"/>
        </w:rPr>
        <w:t>12</w:t>
      </w:r>
      <w:r>
        <w:rPr>
          <w:szCs w:val="24"/>
          <w:lang w:eastAsia="lt-LT"/>
        </w:rPr>
        <w:t>. Sumokėta vietinė rinkliava grąžinama jos mokėtojui:</w:t>
      </w:r>
    </w:p>
    <w:p>
      <w:pPr>
        <w:ind w:firstLine="720"/>
        <w:jc w:val="both"/>
        <w:rPr>
          <w:szCs w:val="24"/>
          <w:lang w:eastAsia="lt-LT"/>
        </w:rPr>
      </w:pPr>
      <w:r>
        <w:rPr>
          <w:szCs w:val="24"/>
          <w:lang w:eastAsia="lt-LT"/>
        </w:rPr>
        <w:t>12.1</w:t>
      </w:r>
      <w:r>
        <w:rPr>
          <w:szCs w:val="24"/>
          <w:lang w:eastAsia="lt-LT"/>
        </w:rPr>
        <w:t>. kai sumokėta daugiau, negu nustatyta Nuostatuose;</w:t>
      </w:r>
    </w:p>
    <w:p>
      <w:pPr>
        <w:ind w:firstLine="720"/>
        <w:jc w:val="both"/>
        <w:rPr>
          <w:szCs w:val="24"/>
          <w:lang w:eastAsia="lt-LT"/>
        </w:rPr>
      </w:pPr>
      <w:r>
        <w:rPr>
          <w:szCs w:val="24"/>
          <w:lang w:eastAsia="lt-LT"/>
        </w:rPr>
        <w:t>12.2</w:t>
      </w:r>
      <w:r>
        <w:rPr>
          <w:szCs w:val="24"/>
          <w:lang w:eastAsia="lt-LT"/>
        </w:rPr>
        <w:t>. jeigu paslauga nesuteikta:</w:t>
      </w:r>
    </w:p>
    <w:p>
      <w:pPr>
        <w:suppressAutoHyphens/>
        <w:ind w:firstLine="709"/>
        <w:jc w:val="both"/>
        <w:rPr>
          <w:rFonts w:eastAsia="Calibri"/>
          <w:szCs w:val="24"/>
          <w:lang w:eastAsia="lt-LT"/>
        </w:rPr>
      </w:pPr>
      <w:r>
        <w:rPr>
          <w:szCs w:val="24"/>
          <w:lang w:eastAsia="lt-LT"/>
        </w:rPr>
        <w:t>12.2.1</w:t>
      </w:r>
      <w:r>
        <w:rPr>
          <w:szCs w:val="24"/>
          <w:lang w:eastAsia="lt-LT"/>
        </w:rPr>
        <w:t xml:space="preserve">.  </w:t>
      </w:r>
      <w:r>
        <w:rPr>
          <w:rFonts w:eastAsia="Calibri"/>
          <w:szCs w:val="24"/>
          <w:lang w:eastAsia="ar-SA"/>
        </w:rPr>
        <w:t>dėl priimtų įstatymų, kitų teisės aktų pasikeitimo (</w:t>
      </w:r>
      <w:r>
        <w:rPr>
          <w:rFonts w:eastAsia="Calibri"/>
          <w:szCs w:val="24"/>
          <w:lang w:eastAsia="lt-LT"/>
        </w:rPr>
        <w:t xml:space="preserve">įskaitant veiklos teisės aktais apribojimą ar uždraudimą) </w:t>
      </w:r>
      <w:r>
        <w:rPr>
          <w:rFonts w:eastAsia="Calibri"/>
          <w:szCs w:val="24"/>
          <w:lang w:eastAsia="ar-SA"/>
        </w:rPr>
        <w:t>arba dėl nenugalimos jėgos aplinkybių poveikio rinkliavos mokėtojas negali pasinaudoti išduoto Leidimo suteiktomis teisėmis;</w:t>
      </w:r>
      <w:r>
        <w:rPr>
          <w:rFonts w:eastAsia="Calibri"/>
          <w:szCs w:val="24"/>
          <w:lang w:eastAsia="lt-LT"/>
        </w:rPr>
        <w:t xml:space="preserve"> </w:t>
      </w:r>
    </w:p>
    <w:p>
      <w:pPr>
        <w:suppressAutoHyphens/>
        <w:ind w:firstLine="709"/>
        <w:jc w:val="both"/>
        <w:rPr>
          <w:szCs w:val="24"/>
          <w:lang w:eastAsia="lt-LT"/>
        </w:rPr>
      </w:pPr>
      <w:r>
        <w:rPr>
          <w:rFonts w:eastAsia="Calibri"/>
          <w:szCs w:val="24"/>
          <w:lang w:eastAsia="lt-LT"/>
        </w:rPr>
        <w:t>12.2.2</w:t>
      </w:r>
      <w:r>
        <w:rPr>
          <w:rFonts w:eastAsia="Calibri"/>
          <w:szCs w:val="24"/>
          <w:lang w:eastAsia="lt-LT"/>
        </w:rPr>
        <w:t xml:space="preserve">. </w:t>
      </w:r>
      <w:r>
        <w:rPr>
          <w:rFonts w:eastAsia="Calibri"/>
          <w:bCs/>
          <w:szCs w:val="24"/>
          <w:lang w:eastAsia="lt-LT"/>
        </w:rPr>
        <w:t xml:space="preserve"> dėl viešojoje vietoje, kurioje galioja Leidimas, </w:t>
      </w:r>
      <w:r>
        <w:rPr>
          <w:rFonts w:eastAsia="Calibri"/>
          <w:color w:val="000000"/>
          <w:szCs w:val="24"/>
          <w:lang w:eastAsia="lt-LT"/>
        </w:rPr>
        <w:t xml:space="preserve">įgyvendinamų infrastruktūrinių projektų, vykdomų remonto ar rekonstrukcijos darbų ir </w:t>
      </w:r>
      <w:r>
        <w:rPr>
          <w:rFonts w:eastAsia="Calibri"/>
          <w:bCs/>
          <w:szCs w:val="24"/>
          <w:lang w:eastAsia="lt-LT"/>
        </w:rPr>
        <w:t>rinkliavos mokėtojas nebegali pasinaudoti išduoto Leidimo suteiktomis teisėmis.</w:t>
      </w:r>
      <w:r>
        <w:rPr>
          <w:rFonts w:eastAsia="Calibri"/>
          <w:szCs w:val="24"/>
          <w:lang w:eastAsia="lt-LT"/>
        </w:rPr>
        <w:t xml:space="preserve"> </w:t>
      </w:r>
    </w:p>
    <w:p>
      <w:pPr>
        <w:ind w:firstLine="720"/>
        <w:jc w:val="both"/>
        <w:rPr>
          <w:szCs w:val="24"/>
          <w:lang w:eastAsia="lt-LT"/>
        </w:rPr>
      </w:pPr>
      <w:r>
        <w:rPr>
          <w:szCs w:val="24"/>
          <w:lang w:eastAsia="lt-LT"/>
        </w:rPr>
        <w:t>12.3</w:t>
      </w:r>
      <w:r>
        <w:rPr>
          <w:szCs w:val="24"/>
          <w:lang w:eastAsia="lt-LT"/>
        </w:rPr>
        <w:t>. jeigu paslauga suteikta, bet pažeidžiant Nuostatuose nustatytus šios paslaugos kokybės reikalavimus ir (ar) teikimo sąlygas.</w:t>
      </w:r>
    </w:p>
    <w:p>
      <w:pPr>
        <w:suppressAutoHyphens/>
        <w:ind w:firstLine="709"/>
        <w:jc w:val="both"/>
        <w:rPr>
          <w:rFonts w:eastAsia="Calibri"/>
          <w:szCs w:val="24"/>
          <w:lang w:eastAsia="ar-SA"/>
        </w:rPr>
      </w:pPr>
      <w:r>
        <w:rPr>
          <w:szCs w:val="24"/>
          <w:lang w:eastAsia="lt-LT"/>
        </w:rPr>
        <w:t>13</w:t>
      </w:r>
      <w:r>
        <w:rPr>
          <w:szCs w:val="24"/>
          <w:lang w:eastAsia="lt-LT"/>
        </w:rPr>
        <w:t>. Vietinė rinkliava arba jos dalis grąžinama remiantis raštišku rinkliavos mokėtojo prašymu, jei jis pateikia prašymą Savivaldybės administracijai per vieną mėnesį nuo jos sumokėjimo.</w:t>
      </w:r>
      <w:r>
        <w:rPr>
          <w:rFonts w:eastAsia="Calibri"/>
          <w:szCs w:val="24"/>
          <w:lang w:eastAsia="lt-LT"/>
        </w:rPr>
        <w:t xml:space="preserve"> Rinkliava grąžinama už tiek dienų, kiek rinkliavos mokėtojas negalėjo pasinaudoti išduoto Leidimo suteiktomis teisėmis, nustačius, kad prašyme nurodyta vietinės rinkliavos grąžinimo priežastis atitinka vieną iš Nuostatų 12 punkte išvardytų atvejų. </w:t>
      </w:r>
    </w:p>
    <w:p>
      <w:pPr>
        <w:ind w:firstLine="709"/>
        <w:jc w:val="both"/>
        <w:rPr>
          <w:rFonts w:eastAsia="Calibri"/>
          <w:szCs w:val="24"/>
          <w:lang w:eastAsia="ar-SA"/>
        </w:rPr>
      </w:pPr>
      <w:r>
        <w:rPr>
          <w:rFonts w:eastAsia="Calibri"/>
          <w:szCs w:val="24"/>
          <w:lang w:eastAsia="ar-SA"/>
        </w:rPr>
        <w:t>14</w:t>
      </w:r>
      <w:r>
        <w:rPr>
          <w:rFonts w:eastAsia="Calibri"/>
          <w:szCs w:val="24"/>
          <w:lang w:eastAsia="ar-SA"/>
        </w:rPr>
        <w:t xml:space="preserve">. Panaikinus Leidimą už prekybos (paslaugų teikimo) Biržų rajono savivaldybės viešosiose vietose tvarkos pažeidimus remiantis kontroliuojančių institucijų raštiškais pranešimais, sumokėta vietinė rinkliava negrąžinama. </w:t>
      </w:r>
    </w:p>
    <w:p>
      <w:pPr>
        <w:jc w:val="both"/>
        <w:rPr>
          <w:szCs w:val="24"/>
          <w:lang w:eastAsia="lt-LT"/>
        </w:rPr>
      </w:pPr>
    </w:p>
    <w:p>
      <w:pPr>
        <w:jc w:val="center"/>
        <w:rPr>
          <w:b/>
          <w:szCs w:val="24"/>
          <w:lang w:eastAsia="lt-LT"/>
        </w:rPr>
      </w:pPr>
      <w:r>
        <w:rPr>
          <w:b/>
          <w:szCs w:val="24"/>
          <w:lang w:eastAsia="lt-LT"/>
        </w:rPr>
        <w:t>IV</w:t>
      </w:r>
      <w:r>
        <w:rPr>
          <w:b/>
          <w:szCs w:val="24"/>
          <w:lang w:eastAsia="lt-LT"/>
        </w:rPr>
        <w:t xml:space="preserve"> SKYRIUS</w:t>
      </w:r>
    </w:p>
    <w:p>
      <w:pPr>
        <w:ind w:firstLine="62"/>
        <w:jc w:val="center"/>
        <w:rPr>
          <w:b/>
          <w:szCs w:val="24"/>
          <w:lang w:eastAsia="lt-LT"/>
        </w:rPr>
      </w:pPr>
      <w:r>
        <w:rPr>
          <w:b/>
          <w:szCs w:val="24"/>
          <w:lang w:eastAsia="lt-LT"/>
        </w:rPr>
        <w:t>LENGVATOS VIETINĖS RINKLIAVOS MOKĖTOJAMS</w:t>
      </w:r>
    </w:p>
    <w:p>
      <w:pPr>
        <w:jc w:val="center"/>
        <w:rPr>
          <w:szCs w:val="24"/>
          <w:lang w:eastAsia="lt-LT"/>
        </w:rPr>
      </w:pPr>
    </w:p>
    <w:p>
      <w:pPr>
        <w:ind w:firstLine="720"/>
        <w:jc w:val="both"/>
        <w:rPr>
          <w:szCs w:val="24"/>
          <w:lang w:eastAsia="lt-LT"/>
        </w:rPr>
      </w:pPr>
      <w:r>
        <w:rPr>
          <w:szCs w:val="24"/>
          <w:lang w:eastAsia="lt-LT"/>
        </w:rPr>
        <w:t>15</w:t>
      </w:r>
      <w:r>
        <w:rPr>
          <w:szCs w:val="24"/>
          <w:lang w:eastAsia="lt-LT"/>
        </w:rPr>
        <w:t>. Vietinė rinkliava už suteiktą vietą prekiauti arba (ir) teikti paslaugas neimama iš:</w:t>
      </w:r>
    </w:p>
    <w:p>
      <w:pPr>
        <w:ind w:firstLine="720"/>
        <w:jc w:val="both"/>
        <w:rPr>
          <w:szCs w:val="24"/>
          <w:lang w:eastAsia="lt-LT"/>
        </w:rPr>
      </w:pPr>
      <w:r>
        <w:rPr>
          <w:szCs w:val="24"/>
          <w:lang w:eastAsia="lt-LT"/>
        </w:rPr>
        <w:t>15.1</w:t>
      </w:r>
      <w:r>
        <w:rPr>
          <w:szCs w:val="24"/>
          <w:lang w:eastAsia="lt-LT"/>
        </w:rPr>
        <w:t>. komercinių renginių rėmėjų šių renginių metu;</w:t>
      </w:r>
    </w:p>
    <w:p>
      <w:pPr>
        <w:ind w:firstLine="720"/>
        <w:jc w:val="both"/>
        <w:rPr>
          <w:szCs w:val="24"/>
          <w:lang w:eastAsia="lt-LT"/>
        </w:rPr>
      </w:pPr>
      <w:r>
        <w:rPr>
          <w:szCs w:val="24"/>
          <w:lang w:eastAsia="lt-LT"/>
        </w:rPr>
        <w:t>15.2</w:t>
      </w:r>
      <w:r>
        <w:rPr>
          <w:szCs w:val="24"/>
          <w:lang w:eastAsia="lt-LT"/>
        </w:rPr>
        <w:t>. mokinių mokomųjų bendrovių;</w:t>
      </w:r>
    </w:p>
    <w:p>
      <w:pPr>
        <w:ind w:firstLine="720"/>
        <w:jc w:val="both"/>
        <w:rPr>
          <w:szCs w:val="24"/>
          <w:lang w:eastAsia="lt-LT"/>
        </w:rPr>
      </w:pPr>
      <w:r>
        <w:rPr>
          <w:szCs w:val="24"/>
          <w:lang w:eastAsia="lt-LT"/>
        </w:rPr>
        <w:t>15.3</w:t>
      </w:r>
      <w:r>
        <w:rPr>
          <w:szCs w:val="24"/>
          <w:lang w:eastAsia="lt-LT"/>
        </w:rPr>
        <w:t>. Savivaldybės viešųjų ir biudžetinių įstaigų bei registruotų ne pelno siekiančių ir visuomeninių organizacijų jų organizuojamų renginių metu.</w:t>
      </w:r>
    </w:p>
    <w:p>
      <w:pPr>
        <w:ind w:firstLine="720"/>
        <w:jc w:val="both"/>
        <w:rPr>
          <w:szCs w:val="24"/>
          <w:lang w:eastAsia="lt-LT"/>
        </w:rPr>
      </w:pPr>
      <w:r>
        <w:rPr>
          <w:szCs w:val="24"/>
          <w:lang w:eastAsia="lt-LT"/>
        </w:rPr>
        <w:t>16</w:t>
      </w:r>
      <w:r>
        <w:rPr>
          <w:szCs w:val="24"/>
          <w:lang w:eastAsia="lt-LT"/>
        </w:rPr>
        <w:t>. Vietinės rinkliavos 30 proc. lengvata taikoma:</w:t>
      </w:r>
    </w:p>
    <w:p>
      <w:pPr>
        <w:ind w:firstLine="720"/>
        <w:jc w:val="both"/>
        <w:rPr>
          <w:szCs w:val="24"/>
          <w:lang w:eastAsia="lt-LT"/>
        </w:rPr>
      </w:pPr>
      <w:r>
        <w:rPr>
          <w:szCs w:val="24"/>
          <w:lang w:eastAsia="lt-LT"/>
        </w:rPr>
        <w:t>16.1</w:t>
      </w:r>
      <w:r>
        <w:rPr>
          <w:szCs w:val="24"/>
          <w:lang w:eastAsia="lt-LT"/>
        </w:rPr>
        <w:t>. asmenims, renginių metu prekiaujantiems žemės ūkio produkcija, išauginta asmeniname arba ūkininko ūkyje;</w:t>
      </w:r>
    </w:p>
    <w:p>
      <w:pPr>
        <w:ind w:firstLine="720"/>
        <w:jc w:val="both"/>
        <w:rPr>
          <w:szCs w:val="24"/>
          <w:lang w:eastAsia="lt-LT"/>
        </w:rPr>
      </w:pPr>
      <w:r>
        <w:rPr>
          <w:szCs w:val="24"/>
          <w:lang w:eastAsia="lt-LT"/>
        </w:rPr>
        <w:t>16.2</w:t>
      </w:r>
      <w:r>
        <w:rPr>
          <w:szCs w:val="24"/>
          <w:lang w:eastAsia="lt-LT"/>
        </w:rPr>
        <w:t>. asmenims, prekiaujantiems savo ūkyje (įmonėje) užaugintais (pagamintais) ekologiškais produktais (išvardintais galiojančiame „Ekoagros“ išduotame sertifikate).</w:t>
      </w:r>
    </w:p>
    <w:p>
      <w:pPr>
        <w:ind w:firstLine="720"/>
        <w:jc w:val="both"/>
        <w:rPr>
          <w:szCs w:val="24"/>
          <w:lang w:eastAsia="lt-LT"/>
        </w:rPr>
      </w:pPr>
      <w:r>
        <w:rPr>
          <w:szCs w:val="24"/>
          <w:lang w:eastAsia="lt-LT"/>
        </w:rPr>
        <w:t>17</w:t>
      </w:r>
      <w:r>
        <w:rPr>
          <w:szCs w:val="24"/>
          <w:lang w:eastAsia="lt-LT"/>
        </w:rPr>
        <w:t>. Savivaldybės taryba turi teisę ir kitais atvejais nustatyti lengvatas Vietinės rinkliavos mokėtojams arba atleisti nuo Vietinės rinkliavos mokėjimo.</w:t>
      </w:r>
    </w:p>
    <w:p>
      <w:pPr>
        <w:jc w:val="center"/>
        <w:rPr>
          <w:b/>
          <w:szCs w:val="24"/>
          <w:lang w:eastAsia="lt-LT"/>
        </w:rPr>
      </w:pPr>
    </w:p>
    <w:p>
      <w:pPr>
        <w:jc w:val="center"/>
        <w:rPr>
          <w:b/>
          <w:szCs w:val="24"/>
          <w:lang w:eastAsia="lt-LT"/>
        </w:rPr>
      </w:pPr>
      <w:r>
        <w:rPr>
          <w:b/>
          <w:szCs w:val="24"/>
          <w:lang w:eastAsia="lt-LT"/>
        </w:rPr>
        <w:t>V</w:t>
      </w:r>
      <w:r>
        <w:rPr>
          <w:b/>
          <w:szCs w:val="24"/>
          <w:lang w:eastAsia="lt-LT"/>
        </w:rPr>
        <w:t xml:space="preserve"> SKYRIUS</w:t>
      </w:r>
    </w:p>
    <w:p>
      <w:pPr>
        <w:jc w:val="center"/>
        <w:rPr>
          <w:b/>
          <w:szCs w:val="24"/>
          <w:lang w:eastAsia="lt-LT"/>
        </w:rPr>
      </w:pPr>
      <w:r>
        <w:rPr>
          <w:b/>
          <w:szCs w:val="24"/>
          <w:lang w:eastAsia="lt-LT"/>
        </w:rPr>
        <w:t>BAIGIAMOSIOS NUOSTATOS</w:t>
      </w:r>
    </w:p>
    <w:p>
      <w:pPr>
        <w:jc w:val="center"/>
        <w:rPr>
          <w:b/>
          <w:szCs w:val="24"/>
          <w:lang w:eastAsia="lt-LT"/>
        </w:rPr>
      </w:pPr>
    </w:p>
    <w:p>
      <w:pPr>
        <w:ind w:firstLine="720"/>
        <w:jc w:val="both"/>
        <w:rPr>
          <w:szCs w:val="24"/>
          <w:lang w:eastAsia="lt-LT"/>
        </w:rPr>
      </w:pPr>
      <w:r>
        <w:rPr>
          <w:szCs w:val="24"/>
          <w:lang w:eastAsia="lt-LT"/>
        </w:rPr>
        <w:t>18</w:t>
      </w:r>
      <w:r>
        <w:rPr>
          <w:szCs w:val="24"/>
          <w:lang w:eastAsia="lt-LT"/>
        </w:rPr>
        <w:t xml:space="preserve">. Vietinės rinkliavos rinkimą ir surinktų rinkliavos lėšų apskaitą Savivaldybės biudžete kontroliuoja Savivaldybės kontrolės ir audito tarnyba. </w:t>
      </w:r>
    </w:p>
    <w:p>
      <w:pPr>
        <w:ind w:firstLine="720"/>
        <w:jc w:val="both"/>
        <w:rPr>
          <w:szCs w:val="24"/>
          <w:lang w:eastAsia="lt-LT"/>
        </w:rPr>
      </w:pPr>
      <w:r>
        <w:rPr>
          <w:szCs w:val="24"/>
          <w:lang w:eastAsia="lt-LT"/>
        </w:rPr>
        <w:t>19</w:t>
      </w:r>
      <w:r>
        <w:rPr>
          <w:szCs w:val="24"/>
          <w:lang w:eastAsia="lt-LT"/>
        </w:rPr>
        <w:t>. Asmenys, pažeidę šiuos nuostatus, atsako Lietuvos Respublikos įstatymų nustatyta tvarka.</w:t>
      </w:r>
    </w:p>
    <w:p>
      <w:pPr>
        <w:ind w:firstLine="720"/>
        <w:jc w:val="both"/>
        <w:rPr>
          <w:rFonts w:eastAsia="Calibri"/>
          <w:szCs w:val="24"/>
          <w:lang w:eastAsia="ar-SA"/>
        </w:rPr>
      </w:pPr>
      <w:r>
        <w:rPr>
          <w:szCs w:val="24"/>
          <w:lang w:eastAsia="lt-LT"/>
        </w:rPr>
        <w:t>20</w:t>
      </w:r>
      <w:r>
        <w:rPr>
          <w:szCs w:val="24"/>
          <w:lang w:eastAsia="lt-LT"/>
        </w:rPr>
        <w:t xml:space="preserve">.  </w:t>
      </w:r>
      <w:r>
        <w:rPr>
          <w:rFonts w:eastAsia="Calibri"/>
          <w:szCs w:val="24"/>
          <w:lang w:eastAsia="ar-SA"/>
        </w:rPr>
        <w:t>Tai, kas nereglamentuota Nuostatuose, sprendžiama taip, kaip numatyta Lietuvos Respublikos teisės aktuose ar Savivaldybės institucijų priimtuose sprendimuose.</w:t>
      </w:r>
    </w:p>
    <w:p>
      <w:pPr>
        <w:jc w:val="both"/>
        <w:rPr>
          <w:rFonts w:eastAsia="Calibri"/>
          <w:i/>
          <w:szCs w:val="24"/>
          <w:lang w:eastAsia="ar-SA"/>
        </w:rPr>
      </w:pPr>
    </w:p>
    <w:p>
      <w:pPr>
        <w:overflowPunct w:val="0"/>
        <w:ind w:firstLine="5040"/>
        <w:textAlignment w:val="baseline"/>
        <w:sectPr>
          <w:headerReference w:type="even" r:id="rId21"/>
          <w:headerReference w:type="default" r:id="rId22"/>
          <w:footerReference w:type="even" r:id="rId23"/>
          <w:footerReference w:type="default" r:id="rId24"/>
          <w:headerReference w:type="first" r:id="rId25"/>
          <w:footerReference w:type="first" r:id="rId26"/>
          <w:pgSz w:w="11906" w:h="16838" w:code="9"/>
          <w:pgMar w:top="1134" w:right="567" w:bottom="851" w:left="1701" w:header="851" w:footer="567" w:gutter="0"/>
          <w:pgNumType w:start="1"/>
          <w:cols w:space="1296"/>
          <w:titlePg/>
          <w:docGrid w:linePitch="354"/>
        </w:sectPr>
      </w:pPr>
    </w:p>
    <w:p>
      <w:pPr>
        <w:overflowPunct w:val="0"/>
        <w:ind w:firstLine="5041"/>
        <w:textAlignment w:val="baseline"/>
        <w:rPr>
          <w:kern w:val="2"/>
          <w:szCs w:val="24"/>
          <w:lang w:eastAsia="ar-SA"/>
        </w:rPr>
      </w:pPr>
      <w:r>
        <w:rPr>
          <w:kern w:val="2"/>
          <w:szCs w:val="24"/>
          <w:lang w:eastAsia="ar-SA"/>
        </w:rPr>
        <w:t xml:space="preserve">Vietinės rinkliavos už leidimo prekiauti </w:t>
      </w:r>
    </w:p>
    <w:p>
      <w:pPr>
        <w:overflowPunct w:val="0"/>
        <w:ind w:firstLine="5041"/>
        <w:textAlignment w:val="baseline"/>
        <w:rPr>
          <w:kern w:val="2"/>
          <w:szCs w:val="24"/>
          <w:lang w:eastAsia="ar-SA"/>
        </w:rPr>
      </w:pPr>
      <w:r>
        <w:rPr>
          <w:kern w:val="2"/>
          <w:szCs w:val="24"/>
          <w:lang w:eastAsia="ar-SA"/>
        </w:rPr>
        <w:t xml:space="preserve">ar teikti paslaugas Biržų rajono savivaldybės </w:t>
      </w:r>
    </w:p>
    <w:p>
      <w:pPr>
        <w:overflowPunct w:val="0"/>
        <w:ind w:firstLine="5041"/>
        <w:textAlignment w:val="baseline"/>
        <w:rPr>
          <w:kern w:val="2"/>
          <w:szCs w:val="24"/>
          <w:lang w:eastAsia="ar-SA"/>
        </w:rPr>
      </w:pPr>
      <w:r>
        <w:rPr>
          <w:kern w:val="2"/>
          <w:szCs w:val="24"/>
          <w:lang w:eastAsia="ar-SA"/>
        </w:rPr>
        <w:t>viešosiose vietose išdavimą nuostatų priedas</w:t>
      </w:r>
    </w:p>
    <w:p>
      <w:pPr>
        <w:overflowPunct w:val="0"/>
        <w:ind w:firstLine="5041"/>
        <w:textAlignment w:val="baseline"/>
        <w:rPr>
          <w:kern w:val="2"/>
          <w:szCs w:val="24"/>
          <w:lang w:eastAsia="lt-LT"/>
        </w:rPr>
      </w:pPr>
      <w:r>
        <w:rPr>
          <w:kern w:val="2"/>
          <w:szCs w:val="24"/>
          <w:lang w:eastAsia="lt-LT"/>
        </w:rPr>
        <w:t xml:space="preserve">(Biržų rajono savivaldybės tarybos </w:t>
      </w:r>
    </w:p>
    <w:p>
      <w:pPr>
        <w:overflowPunct w:val="0"/>
        <w:ind w:firstLine="5041"/>
        <w:textAlignment w:val="baseline"/>
        <w:rPr>
          <w:kern w:val="2"/>
          <w:szCs w:val="24"/>
          <w:lang w:eastAsia="ar-SA"/>
        </w:rPr>
      </w:pPr>
      <w:r>
        <w:rPr>
          <w:kern w:val="2"/>
          <w:szCs w:val="24"/>
          <w:lang w:eastAsia="lt-LT"/>
        </w:rPr>
        <w:t>2024 m. kovo 29 d.</w:t>
      </w:r>
    </w:p>
    <w:p>
      <w:pPr>
        <w:ind w:firstLine="5041"/>
        <w:rPr>
          <w:kern w:val="2"/>
          <w:szCs w:val="24"/>
          <w:lang w:eastAsia="lt-LT"/>
        </w:rPr>
      </w:pPr>
      <w:r>
        <w:rPr>
          <w:kern w:val="2"/>
          <w:szCs w:val="24"/>
          <w:lang w:eastAsia="lt-LT"/>
        </w:rPr>
        <w:t>sprendimo Nr. T-78 redakcija)</w:t>
      </w:r>
    </w:p>
    <w:p>
      <w:pPr>
        <w:ind w:left="357" w:hanging="357"/>
        <w:jc w:val="center"/>
        <w:rPr>
          <w:kern w:val="2"/>
          <w:szCs w:val="24"/>
          <w:lang w:eastAsia="lt-LT"/>
        </w:rPr>
      </w:pPr>
    </w:p>
    <w:p>
      <w:pPr>
        <w:ind w:left="357" w:hanging="357"/>
        <w:jc w:val="center"/>
        <w:rPr>
          <w:kern w:val="2"/>
          <w:szCs w:val="24"/>
          <w:lang w:eastAsia="lt-LT"/>
        </w:rPr>
      </w:pPr>
    </w:p>
    <w:p>
      <w:pPr>
        <w:ind w:left="357" w:hanging="73"/>
        <w:jc w:val="center"/>
        <w:rPr>
          <w:b/>
          <w:bCs/>
          <w:kern w:val="2"/>
          <w:szCs w:val="24"/>
          <w:lang w:eastAsia="lt-LT"/>
        </w:rPr>
      </w:pPr>
      <w:r>
        <w:rPr>
          <w:b/>
          <w:bCs/>
          <w:kern w:val="2"/>
          <w:szCs w:val="24"/>
          <w:lang w:eastAsia="lt-LT"/>
        </w:rPr>
        <w:t xml:space="preserve">VIETINĖS RINKLIAVOS UŽ LEIDIMO PREKIAUTI AR TEIKTI PASLAUGAS </w:t>
      </w:r>
    </w:p>
    <w:p>
      <w:pPr>
        <w:jc w:val="center"/>
        <w:rPr>
          <w:b/>
          <w:bCs/>
          <w:kern w:val="2"/>
          <w:szCs w:val="24"/>
          <w:lang w:eastAsia="lt-LT"/>
        </w:rPr>
      </w:pPr>
      <w:r>
        <w:rPr>
          <w:b/>
          <w:bCs/>
          <w:kern w:val="2"/>
          <w:szCs w:val="24"/>
          <w:lang w:eastAsia="lt-LT"/>
        </w:rPr>
        <w:t>BIRŽŲ RAJONO SAVIVALDYBĖS VIEŠOSIOSE VIETOSE IŠDAVIMĄ DYDŽIAI</w:t>
      </w:r>
    </w:p>
    <w:p>
      <w:pPr>
        <w:ind w:left="357" w:firstLine="709"/>
        <w:jc w:val="center"/>
        <w:rPr>
          <w:b/>
          <w:bCs/>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3233"/>
        <w:gridCol w:w="1951"/>
        <w:gridCol w:w="1956"/>
        <w:gridCol w:w="1959"/>
      </w:tblGrid>
      <w:tr>
        <w:tc>
          <w:tcPr>
            <w:tcW w:w="756" w:type="dxa"/>
            <w:vMerge w:val="restart"/>
            <w:shd w:val="clear" w:color="auto" w:fill="auto"/>
          </w:tcPr>
          <w:p>
            <w:pPr>
              <w:ind w:left="357" w:hanging="357"/>
              <w:jc w:val="center"/>
              <w:rPr>
                <w:b/>
                <w:bCs/>
                <w:kern w:val="2"/>
                <w:szCs w:val="24"/>
                <w:lang w:eastAsia="lt-LT"/>
              </w:rPr>
            </w:pPr>
            <w:r>
              <w:rPr>
                <w:b/>
                <w:bCs/>
                <w:kern w:val="2"/>
                <w:szCs w:val="24"/>
                <w:lang w:eastAsia="lt-LT"/>
              </w:rPr>
              <w:t>Eil. Nr.</w:t>
            </w:r>
          </w:p>
        </w:tc>
        <w:tc>
          <w:tcPr>
            <w:tcW w:w="3233" w:type="dxa"/>
            <w:vMerge w:val="restart"/>
            <w:shd w:val="clear" w:color="auto" w:fill="auto"/>
          </w:tcPr>
          <w:p>
            <w:pPr>
              <w:ind w:left="357" w:hanging="357"/>
              <w:jc w:val="center"/>
              <w:rPr>
                <w:b/>
                <w:bCs/>
                <w:kern w:val="2"/>
                <w:szCs w:val="24"/>
                <w:lang w:eastAsia="lt-LT"/>
              </w:rPr>
            </w:pPr>
            <w:r>
              <w:rPr>
                <w:b/>
                <w:bCs/>
                <w:kern w:val="2"/>
                <w:szCs w:val="24"/>
                <w:lang w:eastAsia="lt-LT"/>
              </w:rPr>
              <w:t>Vietinės rinkliavos objektas</w:t>
            </w:r>
          </w:p>
        </w:tc>
        <w:tc>
          <w:tcPr>
            <w:tcW w:w="5866" w:type="dxa"/>
            <w:gridSpan w:val="3"/>
            <w:shd w:val="clear" w:color="auto" w:fill="auto"/>
          </w:tcPr>
          <w:p>
            <w:pPr>
              <w:ind w:left="357" w:hanging="357"/>
              <w:jc w:val="center"/>
              <w:rPr>
                <w:b/>
                <w:bCs/>
                <w:kern w:val="2"/>
                <w:szCs w:val="24"/>
                <w:lang w:eastAsia="lt-LT"/>
              </w:rPr>
            </w:pPr>
            <w:r>
              <w:rPr>
                <w:b/>
                <w:bCs/>
                <w:kern w:val="2"/>
                <w:szCs w:val="24"/>
                <w:lang w:eastAsia="lt-LT"/>
              </w:rPr>
              <w:t>Vietinės rinkliavos dydis, Eur</w:t>
            </w:r>
          </w:p>
        </w:tc>
      </w:tr>
      <w:tr>
        <w:tc>
          <w:tcPr>
            <w:tcW w:w="756" w:type="dxa"/>
            <w:vMerge/>
            <w:shd w:val="clear" w:color="auto" w:fill="auto"/>
          </w:tcPr>
          <w:p>
            <w:pPr>
              <w:ind w:left="357" w:hanging="357"/>
              <w:jc w:val="center"/>
              <w:rPr>
                <w:b/>
                <w:bCs/>
                <w:kern w:val="2"/>
                <w:szCs w:val="24"/>
                <w:lang w:eastAsia="lt-LT"/>
              </w:rPr>
            </w:pPr>
          </w:p>
        </w:tc>
        <w:tc>
          <w:tcPr>
            <w:tcW w:w="3233" w:type="dxa"/>
            <w:vMerge/>
            <w:shd w:val="clear" w:color="auto" w:fill="auto"/>
          </w:tcPr>
          <w:p>
            <w:pPr>
              <w:ind w:left="357" w:hanging="357"/>
              <w:jc w:val="center"/>
              <w:rPr>
                <w:b/>
                <w:bCs/>
                <w:kern w:val="2"/>
                <w:szCs w:val="24"/>
                <w:lang w:eastAsia="lt-LT"/>
              </w:rPr>
            </w:pPr>
          </w:p>
        </w:tc>
        <w:tc>
          <w:tcPr>
            <w:tcW w:w="1951" w:type="dxa"/>
            <w:shd w:val="clear" w:color="auto" w:fill="auto"/>
          </w:tcPr>
          <w:p>
            <w:pPr>
              <w:ind w:left="357" w:hanging="357"/>
              <w:jc w:val="center"/>
              <w:rPr>
                <w:b/>
                <w:bCs/>
                <w:kern w:val="2"/>
                <w:szCs w:val="24"/>
                <w:lang w:eastAsia="lt-LT"/>
              </w:rPr>
            </w:pPr>
            <w:r>
              <w:rPr>
                <w:b/>
                <w:bCs/>
                <w:kern w:val="2"/>
                <w:szCs w:val="24"/>
                <w:lang w:eastAsia="lt-LT"/>
              </w:rPr>
              <w:t>1 parai</w:t>
            </w:r>
          </w:p>
        </w:tc>
        <w:tc>
          <w:tcPr>
            <w:tcW w:w="1956" w:type="dxa"/>
            <w:shd w:val="clear" w:color="auto" w:fill="auto"/>
          </w:tcPr>
          <w:p>
            <w:pPr>
              <w:ind w:left="357" w:hanging="357"/>
              <w:jc w:val="center"/>
              <w:rPr>
                <w:b/>
                <w:bCs/>
                <w:kern w:val="2"/>
                <w:szCs w:val="24"/>
                <w:lang w:eastAsia="lt-LT"/>
              </w:rPr>
            </w:pPr>
            <w:r>
              <w:rPr>
                <w:b/>
                <w:bCs/>
                <w:kern w:val="2"/>
                <w:szCs w:val="24"/>
                <w:lang w:eastAsia="lt-LT"/>
              </w:rPr>
              <w:t>1 mėnesiui</w:t>
            </w:r>
          </w:p>
        </w:tc>
        <w:tc>
          <w:tcPr>
            <w:tcW w:w="1959" w:type="dxa"/>
            <w:shd w:val="clear" w:color="auto" w:fill="auto"/>
          </w:tcPr>
          <w:p>
            <w:pPr>
              <w:ind w:left="357" w:hanging="357"/>
              <w:jc w:val="center"/>
              <w:rPr>
                <w:b/>
                <w:bCs/>
                <w:kern w:val="2"/>
                <w:szCs w:val="24"/>
                <w:lang w:eastAsia="lt-LT"/>
              </w:rPr>
            </w:pPr>
            <w:r>
              <w:rPr>
                <w:b/>
                <w:bCs/>
                <w:kern w:val="2"/>
                <w:szCs w:val="24"/>
                <w:lang w:eastAsia="lt-LT"/>
              </w:rPr>
              <w:t>3 mėnesiams</w:t>
            </w:r>
          </w:p>
        </w:tc>
      </w:tr>
      <w:tr>
        <w:tc>
          <w:tcPr>
            <w:tcW w:w="756" w:type="dxa"/>
            <w:shd w:val="clear" w:color="auto" w:fill="auto"/>
          </w:tcPr>
          <w:p>
            <w:pPr>
              <w:ind w:left="357" w:hanging="357"/>
              <w:jc w:val="center"/>
              <w:rPr>
                <w:b/>
                <w:bCs/>
                <w:kern w:val="2"/>
                <w:szCs w:val="24"/>
                <w:lang w:eastAsia="lt-LT"/>
              </w:rPr>
            </w:pPr>
            <w:r>
              <w:rPr>
                <w:b/>
                <w:bCs/>
                <w:kern w:val="2"/>
                <w:szCs w:val="24"/>
                <w:lang w:eastAsia="lt-LT"/>
              </w:rPr>
              <w:t>1.</w:t>
            </w:r>
          </w:p>
        </w:tc>
        <w:tc>
          <w:tcPr>
            <w:tcW w:w="9099" w:type="dxa"/>
            <w:gridSpan w:val="4"/>
            <w:shd w:val="clear" w:color="auto" w:fill="auto"/>
          </w:tcPr>
          <w:p>
            <w:pPr>
              <w:ind w:left="357" w:hanging="357"/>
              <w:jc w:val="both"/>
              <w:rPr>
                <w:b/>
                <w:bCs/>
                <w:kern w:val="2"/>
                <w:szCs w:val="24"/>
                <w:lang w:eastAsia="lt-LT"/>
              </w:rPr>
            </w:pPr>
            <w:r>
              <w:rPr>
                <w:b/>
                <w:bCs/>
                <w:kern w:val="2"/>
                <w:szCs w:val="24"/>
                <w:lang w:eastAsia="lt-LT"/>
              </w:rPr>
              <w:t>Prekyba, paslaugų teikimas Savivaldybės viešosiose vietose (viena vieta)</w:t>
            </w:r>
          </w:p>
        </w:tc>
      </w:tr>
      <w:tr>
        <w:tc>
          <w:tcPr>
            <w:tcW w:w="756" w:type="dxa"/>
            <w:shd w:val="clear" w:color="auto" w:fill="auto"/>
          </w:tcPr>
          <w:p>
            <w:pPr>
              <w:ind w:left="357" w:hanging="357"/>
              <w:jc w:val="center"/>
              <w:rPr>
                <w:bCs/>
                <w:kern w:val="2"/>
                <w:szCs w:val="24"/>
                <w:lang w:eastAsia="lt-LT"/>
              </w:rPr>
            </w:pPr>
            <w:r>
              <w:rPr>
                <w:bCs/>
                <w:kern w:val="2"/>
                <w:szCs w:val="24"/>
                <w:lang w:eastAsia="lt-LT"/>
              </w:rPr>
              <w:t>1.1.</w:t>
            </w:r>
          </w:p>
        </w:tc>
        <w:tc>
          <w:tcPr>
            <w:tcW w:w="9099" w:type="dxa"/>
            <w:gridSpan w:val="4"/>
            <w:shd w:val="clear" w:color="auto" w:fill="auto"/>
          </w:tcPr>
          <w:p>
            <w:pPr>
              <w:ind w:left="357" w:hanging="357"/>
              <w:jc w:val="both"/>
              <w:rPr>
                <w:bCs/>
                <w:kern w:val="2"/>
                <w:szCs w:val="24"/>
                <w:lang w:eastAsia="lt-LT"/>
              </w:rPr>
            </w:pPr>
            <w:r>
              <w:rPr>
                <w:bCs/>
                <w:kern w:val="2"/>
                <w:szCs w:val="24"/>
                <w:lang w:eastAsia="lt-LT"/>
              </w:rPr>
              <w:t xml:space="preserve">Biržų mieste; </w:t>
            </w:r>
          </w:p>
          <w:p>
            <w:pPr>
              <w:ind w:left="357" w:hanging="357"/>
              <w:jc w:val="both"/>
              <w:rPr>
                <w:bCs/>
                <w:kern w:val="2"/>
                <w:szCs w:val="24"/>
                <w:lang w:eastAsia="lt-LT"/>
              </w:rPr>
            </w:pPr>
            <w:r>
              <w:rPr>
                <w:bCs/>
                <w:kern w:val="2"/>
                <w:szCs w:val="24"/>
                <w:lang w:eastAsia="lt-LT"/>
              </w:rPr>
              <w:t>Biržų r. sav., Širvėnos sen., Kirkilų k. (teritorija prie apžvalgos bokšto)</w:t>
            </w:r>
          </w:p>
        </w:tc>
      </w:tr>
      <w:tr>
        <w:tc>
          <w:tcPr>
            <w:tcW w:w="756" w:type="dxa"/>
            <w:shd w:val="clear" w:color="auto" w:fill="auto"/>
          </w:tcPr>
          <w:p>
            <w:pPr>
              <w:ind w:left="357" w:hanging="357"/>
              <w:jc w:val="center"/>
              <w:rPr>
                <w:bCs/>
                <w:kern w:val="2"/>
                <w:szCs w:val="24"/>
                <w:lang w:eastAsia="lt-LT"/>
              </w:rPr>
            </w:pPr>
            <w:r>
              <w:rPr>
                <w:bCs/>
                <w:kern w:val="2"/>
                <w:szCs w:val="24"/>
                <w:lang w:eastAsia="lt-LT"/>
              </w:rPr>
              <w:t>1.1.1.</w:t>
            </w:r>
          </w:p>
        </w:tc>
        <w:tc>
          <w:tcPr>
            <w:tcW w:w="3233" w:type="dxa"/>
            <w:shd w:val="clear" w:color="auto" w:fill="auto"/>
          </w:tcPr>
          <w:p>
            <w:pPr>
              <w:rPr>
                <w:bCs/>
                <w:kern w:val="2"/>
                <w:szCs w:val="24"/>
                <w:lang w:eastAsia="lt-LT"/>
              </w:rPr>
            </w:pPr>
            <w:r>
              <w:rPr>
                <w:kern w:val="2"/>
                <w:szCs w:val="24"/>
                <w:lang w:eastAsia="lt-LT"/>
              </w:rPr>
              <w:t>prekyba ar paslaugų teikimas (išskyrus laisvalaikio ir pramogų paslaugas) nuo (iš) laikinųjų prekybos įrenginių, prekybai pritaikytų automobilių ar priekabų</w:t>
            </w:r>
          </w:p>
        </w:tc>
        <w:tc>
          <w:tcPr>
            <w:tcW w:w="1951" w:type="dxa"/>
            <w:shd w:val="clear" w:color="auto" w:fill="auto"/>
          </w:tcPr>
          <w:p>
            <w:pPr>
              <w:ind w:left="357" w:hanging="357"/>
              <w:jc w:val="center"/>
              <w:rPr>
                <w:bCs/>
                <w:kern w:val="2"/>
                <w:szCs w:val="24"/>
                <w:lang w:eastAsia="lt-LT"/>
              </w:rPr>
            </w:pPr>
            <w:r>
              <w:rPr>
                <w:bCs/>
                <w:kern w:val="2"/>
                <w:szCs w:val="24"/>
                <w:lang w:eastAsia="lt-LT"/>
              </w:rPr>
              <w:t>10</w:t>
            </w:r>
          </w:p>
        </w:tc>
        <w:tc>
          <w:tcPr>
            <w:tcW w:w="1956" w:type="dxa"/>
            <w:shd w:val="clear" w:color="auto" w:fill="auto"/>
          </w:tcPr>
          <w:p>
            <w:pPr>
              <w:ind w:left="357" w:hanging="357"/>
              <w:jc w:val="center"/>
              <w:rPr>
                <w:bCs/>
                <w:kern w:val="2"/>
                <w:szCs w:val="24"/>
                <w:lang w:eastAsia="lt-LT"/>
              </w:rPr>
            </w:pPr>
            <w:r>
              <w:rPr>
                <w:bCs/>
                <w:kern w:val="2"/>
                <w:szCs w:val="24"/>
                <w:lang w:eastAsia="lt-LT"/>
              </w:rPr>
              <w:t>100</w:t>
            </w:r>
          </w:p>
        </w:tc>
        <w:tc>
          <w:tcPr>
            <w:tcW w:w="1959" w:type="dxa"/>
            <w:shd w:val="clear" w:color="auto" w:fill="auto"/>
          </w:tcPr>
          <w:p>
            <w:pPr>
              <w:ind w:left="357" w:hanging="357"/>
              <w:jc w:val="center"/>
              <w:rPr>
                <w:bCs/>
                <w:kern w:val="2"/>
                <w:szCs w:val="24"/>
                <w:lang w:eastAsia="lt-LT"/>
              </w:rPr>
            </w:pPr>
            <w:r>
              <w:rPr>
                <w:bCs/>
                <w:kern w:val="2"/>
                <w:szCs w:val="24"/>
                <w:lang w:eastAsia="lt-LT"/>
              </w:rPr>
              <w:t>250</w:t>
            </w:r>
          </w:p>
        </w:tc>
      </w:tr>
      <w:tr>
        <w:tc>
          <w:tcPr>
            <w:tcW w:w="756" w:type="dxa"/>
            <w:shd w:val="clear" w:color="auto" w:fill="auto"/>
          </w:tcPr>
          <w:p>
            <w:pPr>
              <w:ind w:left="357" w:hanging="357"/>
              <w:jc w:val="center"/>
              <w:rPr>
                <w:bCs/>
                <w:kern w:val="2"/>
                <w:szCs w:val="24"/>
                <w:lang w:eastAsia="lt-LT"/>
              </w:rPr>
            </w:pPr>
            <w:r>
              <w:rPr>
                <w:bCs/>
                <w:kern w:val="2"/>
                <w:szCs w:val="24"/>
                <w:lang w:eastAsia="lt-LT"/>
              </w:rPr>
              <w:t>1.1.2.</w:t>
            </w:r>
          </w:p>
        </w:tc>
        <w:tc>
          <w:tcPr>
            <w:tcW w:w="3233" w:type="dxa"/>
            <w:shd w:val="clear" w:color="auto" w:fill="auto"/>
          </w:tcPr>
          <w:p>
            <w:pPr>
              <w:rPr>
                <w:kern w:val="2"/>
                <w:szCs w:val="24"/>
                <w:lang w:eastAsia="lt-LT"/>
              </w:rPr>
            </w:pPr>
            <w:r>
              <w:rPr>
                <w:kern w:val="2"/>
                <w:szCs w:val="24"/>
                <w:lang w:eastAsia="lt-LT"/>
              </w:rPr>
              <w:t>prekyba ar paslaugų teikimas (išskyrus laisvalaikio ir pramogų paslaugas) iš kioskų</w:t>
            </w:r>
          </w:p>
        </w:tc>
        <w:tc>
          <w:tcPr>
            <w:tcW w:w="1951" w:type="dxa"/>
            <w:shd w:val="clear" w:color="auto" w:fill="auto"/>
          </w:tcPr>
          <w:p>
            <w:pPr>
              <w:ind w:left="357" w:hanging="357"/>
              <w:jc w:val="center"/>
              <w:rPr>
                <w:bCs/>
                <w:kern w:val="2"/>
                <w:szCs w:val="24"/>
                <w:lang w:eastAsia="lt-LT"/>
              </w:rPr>
            </w:pPr>
            <w:r>
              <w:rPr>
                <w:bCs/>
                <w:kern w:val="2"/>
                <w:szCs w:val="24"/>
                <w:lang w:eastAsia="lt-LT"/>
              </w:rPr>
              <w:t>10</w:t>
            </w:r>
          </w:p>
        </w:tc>
        <w:tc>
          <w:tcPr>
            <w:tcW w:w="1956" w:type="dxa"/>
            <w:shd w:val="clear" w:color="auto" w:fill="auto"/>
          </w:tcPr>
          <w:p>
            <w:pPr>
              <w:ind w:left="357" w:hanging="357"/>
              <w:jc w:val="center"/>
              <w:rPr>
                <w:bCs/>
                <w:kern w:val="2"/>
                <w:szCs w:val="24"/>
                <w:lang w:eastAsia="lt-LT"/>
              </w:rPr>
            </w:pPr>
            <w:r>
              <w:rPr>
                <w:bCs/>
                <w:kern w:val="2"/>
                <w:szCs w:val="24"/>
                <w:lang w:eastAsia="lt-LT"/>
              </w:rPr>
              <w:t>150</w:t>
            </w:r>
          </w:p>
        </w:tc>
        <w:tc>
          <w:tcPr>
            <w:tcW w:w="1959" w:type="dxa"/>
            <w:shd w:val="clear" w:color="auto" w:fill="auto"/>
          </w:tcPr>
          <w:p>
            <w:pPr>
              <w:ind w:left="357" w:hanging="357"/>
              <w:jc w:val="center"/>
              <w:rPr>
                <w:bCs/>
                <w:kern w:val="2"/>
                <w:szCs w:val="24"/>
                <w:lang w:eastAsia="lt-LT"/>
              </w:rPr>
            </w:pPr>
            <w:r>
              <w:rPr>
                <w:bCs/>
                <w:kern w:val="2"/>
                <w:szCs w:val="24"/>
                <w:lang w:eastAsia="lt-LT"/>
              </w:rPr>
              <w:t>400</w:t>
            </w:r>
          </w:p>
        </w:tc>
      </w:tr>
      <w:tr>
        <w:tc>
          <w:tcPr>
            <w:tcW w:w="756" w:type="dxa"/>
            <w:shd w:val="clear" w:color="auto" w:fill="auto"/>
          </w:tcPr>
          <w:p>
            <w:pPr>
              <w:ind w:left="357" w:hanging="357"/>
              <w:jc w:val="center"/>
              <w:rPr>
                <w:bCs/>
                <w:kern w:val="2"/>
                <w:szCs w:val="24"/>
                <w:lang w:eastAsia="lt-LT"/>
              </w:rPr>
            </w:pPr>
            <w:r>
              <w:rPr>
                <w:bCs/>
                <w:kern w:val="2"/>
                <w:szCs w:val="24"/>
                <w:lang w:eastAsia="lt-LT"/>
              </w:rPr>
              <w:t>1.1.3.</w:t>
            </w:r>
          </w:p>
        </w:tc>
        <w:tc>
          <w:tcPr>
            <w:tcW w:w="3233" w:type="dxa"/>
            <w:shd w:val="clear" w:color="auto" w:fill="auto"/>
          </w:tcPr>
          <w:p>
            <w:pPr>
              <w:ind w:left="-7" w:hanging="12"/>
              <w:rPr>
                <w:bCs/>
                <w:kern w:val="2"/>
                <w:szCs w:val="24"/>
                <w:lang w:eastAsia="lt-LT"/>
              </w:rPr>
            </w:pPr>
            <w:r>
              <w:rPr>
                <w:kern w:val="2"/>
                <w:szCs w:val="24"/>
                <w:lang w:eastAsia="lt-LT"/>
              </w:rPr>
              <w:t>laisvalaikio ir pramogų paslaugų teikimas (batutų, karuselių, atrakcionų) už vienos paslaugos rūšį</w:t>
            </w:r>
          </w:p>
        </w:tc>
        <w:tc>
          <w:tcPr>
            <w:tcW w:w="1951" w:type="dxa"/>
            <w:shd w:val="clear" w:color="auto" w:fill="auto"/>
          </w:tcPr>
          <w:p>
            <w:pPr>
              <w:ind w:left="357" w:hanging="357"/>
              <w:jc w:val="center"/>
              <w:rPr>
                <w:bCs/>
                <w:kern w:val="2"/>
                <w:szCs w:val="24"/>
                <w:lang w:eastAsia="lt-LT"/>
              </w:rPr>
            </w:pPr>
            <w:r>
              <w:rPr>
                <w:bCs/>
                <w:kern w:val="2"/>
                <w:szCs w:val="24"/>
                <w:lang w:eastAsia="lt-LT"/>
              </w:rPr>
              <w:t>30</w:t>
            </w:r>
          </w:p>
        </w:tc>
        <w:tc>
          <w:tcPr>
            <w:tcW w:w="1956" w:type="dxa"/>
            <w:shd w:val="clear" w:color="auto" w:fill="auto"/>
          </w:tcPr>
          <w:p>
            <w:pPr>
              <w:ind w:left="357" w:hanging="357"/>
              <w:jc w:val="center"/>
              <w:rPr>
                <w:bCs/>
                <w:kern w:val="2"/>
                <w:szCs w:val="24"/>
                <w:lang w:eastAsia="lt-LT"/>
              </w:rPr>
            </w:pPr>
            <w:r>
              <w:rPr>
                <w:bCs/>
                <w:kern w:val="2"/>
                <w:szCs w:val="24"/>
                <w:lang w:eastAsia="lt-LT"/>
              </w:rPr>
              <w:t>200</w:t>
            </w:r>
          </w:p>
        </w:tc>
        <w:tc>
          <w:tcPr>
            <w:tcW w:w="1959" w:type="dxa"/>
            <w:shd w:val="clear" w:color="auto" w:fill="auto"/>
          </w:tcPr>
          <w:p>
            <w:pPr>
              <w:ind w:left="357" w:hanging="357"/>
              <w:jc w:val="center"/>
              <w:rPr>
                <w:bCs/>
                <w:kern w:val="2"/>
                <w:szCs w:val="24"/>
                <w:lang w:eastAsia="lt-LT"/>
              </w:rPr>
            </w:pPr>
            <w:r>
              <w:rPr>
                <w:bCs/>
                <w:kern w:val="2"/>
                <w:szCs w:val="24"/>
                <w:lang w:eastAsia="lt-LT"/>
              </w:rPr>
              <w:t>400</w:t>
            </w:r>
          </w:p>
        </w:tc>
      </w:tr>
      <w:tr>
        <w:tc>
          <w:tcPr>
            <w:tcW w:w="756" w:type="dxa"/>
            <w:shd w:val="clear" w:color="auto" w:fill="auto"/>
          </w:tcPr>
          <w:p>
            <w:pPr>
              <w:ind w:left="357" w:hanging="357"/>
              <w:jc w:val="center"/>
              <w:rPr>
                <w:bCs/>
                <w:kern w:val="2"/>
                <w:szCs w:val="24"/>
                <w:lang w:eastAsia="lt-LT"/>
              </w:rPr>
            </w:pPr>
            <w:r>
              <w:rPr>
                <w:bCs/>
                <w:kern w:val="2"/>
                <w:szCs w:val="24"/>
                <w:lang w:eastAsia="lt-LT"/>
              </w:rPr>
              <w:t>1.1.4.</w:t>
            </w:r>
          </w:p>
        </w:tc>
        <w:tc>
          <w:tcPr>
            <w:tcW w:w="3233" w:type="dxa"/>
            <w:shd w:val="clear" w:color="auto" w:fill="auto"/>
          </w:tcPr>
          <w:p>
            <w:pPr>
              <w:rPr>
                <w:bCs/>
                <w:kern w:val="2"/>
                <w:szCs w:val="24"/>
                <w:lang w:eastAsia="lt-LT"/>
              </w:rPr>
            </w:pPr>
            <w:r>
              <w:rPr>
                <w:kern w:val="2"/>
                <w:szCs w:val="24"/>
                <w:lang w:eastAsia="lt-LT"/>
              </w:rPr>
              <w:t>laisvalaikio ir pramogų paslaugų teikimas (vandens priemonių, dviračių, riedučių, elektromobilių, kartingų ir pan. nuoma) už vienos paslaugos rūšį</w:t>
            </w:r>
          </w:p>
        </w:tc>
        <w:tc>
          <w:tcPr>
            <w:tcW w:w="1951" w:type="dxa"/>
            <w:shd w:val="clear" w:color="auto" w:fill="auto"/>
          </w:tcPr>
          <w:p>
            <w:pPr>
              <w:ind w:left="357" w:hanging="357"/>
              <w:jc w:val="center"/>
              <w:rPr>
                <w:bCs/>
                <w:kern w:val="2"/>
                <w:szCs w:val="24"/>
                <w:lang w:eastAsia="lt-LT"/>
              </w:rPr>
            </w:pPr>
            <w:r>
              <w:rPr>
                <w:bCs/>
                <w:kern w:val="2"/>
                <w:szCs w:val="24"/>
                <w:lang w:eastAsia="lt-LT"/>
              </w:rPr>
              <w:t>10</w:t>
            </w:r>
          </w:p>
        </w:tc>
        <w:tc>
          <w:tcPr>
            <w:tcW w:w="1956" w:type="dxa"/>
            <w:shd w:val="clear" w:color="auto" w:fill="auto"/>
          </w:tcPr>
          <w:p>
            <w:pPr>
              <w:ind w:left="357" w:hanging="357"/>
              <w:jc w:val="center"/>
              <w:rPr>
                <w:bCs/>
                <w:kern w:val="2"/>
                <w:szCs w:val="24"/>
                <w:lang w:eastAsia="lt-LT"/>
              </w:rPr>
            </w:pPr>
            <w:r>
              <w:rPr>
                <w:bCs/>
                <w:kern w:val="2"/>
                <w:szCs w:val="24"/>
                <w:lang w:eastAsia="lt-LT"/>
              </w:rPr>
              <w:t>100</w:t>
            </w:r>
          </w:p>
        </w:tc>
        <w:tc>
          <w:tcPr>
            <w:tcW w:w="1959" w:type="dxa"/>
            <w:shd w:val="clear" w:color="auto" w:fill="auto"/>
          </w:tcPr>
          <w:p>
            <w:pPr>
              <w:ind w:left="357" w:hanging="357"/>
              <w:jc w:val="center"/>
              <w:rPr>
                <w:bCs/>
                <w:kern w:val="2"/>
                <w:szCs w:val="24"/>
                <w:lang w:eastAsia="lt-LT"/>
              </w:rPr>
            </w:pPr>
            <w:r>
              <w:rPr>
                <w:bCs/>
                <w:kern w:val="2"/>
                <w:szCs w:val="24"/>
                <w:lang w:eastAsia="lt-LT"/>
              </w:rPr>
              <w:t>250</w:t>
            </w:r>
          </w:p>
        </w:tc>
      </w:tr>
      <w:tr>
        <w:tc>
          <w:tcPr>
            <w:tcW w:w="756" w:type="dxa"/>
            <w:shd w:val="clear" w:color="auto" w:fill="auto"/>
          </w:tcPr>
          <w:p>
            <w:pPr>
              <w:ind w:left="357" w:hanging="357"/>
              <w:jc w:val="center"/>
              <w:rPr>
                <w:bCs/>
                <w:kern w:val="2"/>
                <w:szCs w:val="24"/>
                <w:lang w:eastAsia="lt-LT"/>
              </w:rPr>
            </w:pPr>
            <w:r>
              <w:rPr>
                <w:bCs/>
                <w:kern w:val="2"/>
                <w:szCs w:val="24"/>
                <w:lang w:eastAsia="lt-LT"/>
              </w:rPr>
              <w:t>1.2.</w:t>
            </w:r>
          </w:p>
        </w:tc>
        <w:tc>
          <w:tcPr>
            <w:tcW w:w="9099" w:type="dxa"/>
            <w:gridSpan w:val="4"/>
            <w:shd w:val="clear" w:color="auto" w:fill="auto"/>
          </w:tcPr>
          <w:p>
            <w:pPr>
              <w:rPr>
                <w:bCs/>
                <w:kern w:val="2"/>
                <w:szCs w:val="24"/>
                <w:lang w:eastAsia="lt-LT"/>
              </w:rPr>
            </w:pPr>
            <w:r>
              <w:rPr>
                <w:kern w:val="2"/>
                <w:szCs w:val="24"/>
                <w:lang w:eastAsia="lt-LT"/>
              </w:rPr>
              <w:t xml:space="preserve">Kitose seniūnijose  </w:t>
            </w:r>
          </w:p>
        </w:tc>
      </w:tr>
      <w:tr>
        <w:tc>
          <w:tcPr>
            <w:tcW w:w="756" w:type="dxa"/>
            <w:shd w:val="clear" w:color="auto" w:fill="auto"/>
          </w:tcPr>
          <w:p>
            <w:pPr>
              <w:ind w:left="357" w:hanging="357"/>
              <w:jc w:val="center"/>
              <w:rPr>
                <w:bCs/>
                <w:kern w:val="2"/>
                <w:szCs w:val="24"/>
                <w:lang w:eastAsia="lt-LT"/>
              </w:rPr>
            </w:pPr>
            <w:r>
              <w:rPr>
                <w:bCs/>
                <w:kern w:val="2"/>
                <w:szCs w:val="24"/>
                <w:lang w:eastAsia="lt-LT"/>
              </w:rPr>
              <w:t>1.2.1.</w:t>
            </w:r>
          </w:p>
        </w:tc>
        <w:tc>
          <w:tcPr>
            <w:tcW w:w="3233" w:type="dxa"/>
            <w:shd w:val="clear" w:color="auto" w:fill="auto"/>
          </w:tcPr>
          <w:p>
            <w:pPr>
              <w:rPr>
                <w:kern w:val="2"/>
                <w:szCs w:val="24"/>
                <w:lang w:eastAsia="lt-LT"/>
              </w:rPr>
            </w:pPr>
            <w:r>
              <w:rPr>
                <w:kern w:val="2"/>
                <w:szCs w:val="24"/>
                <w:lang w:eastAsia="lt-LT"/>
              </w:rPr>
              <w:t>prekyba ar paslaugų teikimas (išskyrus laisvalaikio ir pramogų paslaugas) nuo (iš) laikinųjų prekybos įrenginių, prekybai pritaikytų automobilių ar priekabų</w:t>
            </w:r>
          </w:p>
        </w:tc>
        <w:tc>
          <w:tcPr>
            <w:tcW w:w="1951" w:type="dxa"/>
            <w:shd w:val="clear" w:color="auto" w:fill="auto"/>
          </w:tcPr>
          <w:p>
            <w:pPr>
              <w:ind w:left="357" w:hanging="357"/>
              <w:jc w:val="center"/>
              <w:rPr>
                <w:bCs/>
                <w:color w:val="000000"/>
                <w:kern w:val="2"/>
                <w:szCs w:val="24"/>
                <w:lang w:eastAsia="lt-LT"/>
              </w:rPr>
            </w:pPr>
            <w:r>
              <w:rPr>
                <w:bCs/>
                <w:color w:val="000000"/>
                <w:kern w:val="2"/>
                <w:szCs w:val="24"/>
                <w:lang w:eastAsia="lt-LT"/>
              </w:rPr>
              <w:t>5</w:t>
            </w:r>
          </w:p>
        </w:tc>
        <w:tc>
          <w:tcPr>
            <w:tcW w:w="1956" w:type="dxa"/>
            <w:shd w:val="clear" w:color="auto" w:fill="auto"/>
          </w:tcPr>
          <w:p>
            <w:pPr>
              <w:ind w:left="357" w:hanging="357"/>
              <w:jc w:val="center"/>
              <w:rPr>
                <w:bCs/>
                <w:kern w:val="2"/>
                <w:szCs w:val="24"/>
                <w:lang w:eastAsia="lt-LT"/>
              </w:rPr>
            </w:pPr>
            <w:r>
              <w:rPr>
                <w:bCs/>
                <w:kern w:val="2"/>
                <w:szCs w:val="24"/>
                <w:lang w:eastAsia="lt-LT"/>
              </w:rPr>
              <w:t>50</w:t>
            </w:r>
          </w:p>
        </w:tc>
        <w:tc>
          <w:tcPr>
            <w:tcW w:w="1959" w:type="dxa"/>
            <w:shd w:val="clear" w:color="auto" w:fill="auto"/>
          </w:tcPr>
          <w:p>
            <w:pPr>
              <w:ind w:left="357" w:hanging="357"/>
              <w:jc w:val="center"/>
              <w:rPr>
                <w:bCs/>
                <w:kern w:val="2"/>
                <w:szCs w:val="24"/>
                <w:lang w:eastAsia="lt-LT"/>
              </w:rPr>
            </w:pPr>
            <w:r>
              <w:rPr>
                <w:bCs/>
                <w:kern w:val="2"/>
                <w:szCs w:val="24"/>
                <w:lang w:eastAsia="lt-LT"/>
              </w:rPr>
              <w:t>-</w:t>
            </w:r>
          </w:p>
        </w:tc>
      </w:tr>
      <w:tr>
        <w:tc>
          <w:tcPr>
            <w:tcW w:w="756" w:type="dxa"/>
            <w:shd w:val="clear" w:color="auto" w:fill="auto"/>
          </w:tcPr>
          <w:p>
            <w:pPr>
              <w:ind w:left="357" w:hanging="357"/>
              <w:jc w:val="center"/>
              <w:rPr>
                <w:bCs/>
                <w:kern w:val="2"/>
                <w:szCs w:val="24"/>
                <w:lang w:eastAsia="lt-LT"/>
              </w:rPr>
            </w:pPr>
            <w:r>
              <w:rPr>
                <w:bCs/>
                <w:kern w:val="2"/>
                <w:szCs w:val="24"/>
                <w:lang w:eastAsia="lt-LT"/>
              </w:rPr>
              <w:t>1.2.2.</w:t>
            </w:r>
          </w:p>
        </w:tc>
        <w:tc>
          <w:tcPr>
            <w:tcW w:w="3233" w:type="dxa"/>
            <w:shd w:val="clear" w:color="auto" w:fill="auto"/>
          </w:tcPr>
          <w:p>
            <w:pPr>
              <w:rPr>
                <w:kern w:val="2"/>
                <w:szCs w:val="24"/>
                <w:lang w:eastAsia="lt-LT"/>
              </w:rPr>
            </w:pPr>
            <w:r>
              <w:rPr>
                <w:kern w:val="2"/>
                <w:szCs w:val="24"/>
                <w:lang w:eastAsia="lt-LT"/>
              </w:rPr>
              <w:t xml:space="preserve">laisvalaikio ir pramogų paslaugų teikimas  už vienos paslaugos rūšį</w:t>
            </w:r>
          </w:p>
        </w:tc>
        <w:tc>
          <w:tcPr>
            <w:tcW w:w="1951" w:type="dxa"/>
            <w:shd w:val="clear" w:color="auto" w:fill="auto"/>
          </w:tcPr>
          <w:p>
            <w:pPr>
              <w:ind w:left="357" w:hanging="357"/>
              <w:jc w:val="center"/>
              <w:rPr>
                <w:bCs/>
                <w:color w:val="000000"/>
                <w:kern w:val="2"/>
                <w:szCs w:val="24"/>
                <w:lang w:eastAsia="lt-LT"/>
              </w:rPr>
            </w:pPr>
            <w:r>
              <w:rPr>
                <w:bCs/>
                <w:color w:val="000000"/>
                <w:kern w:val="2"/>
                <w:szCs w:val="24"/>
                <w:lang w:eastAsia="lt-LT"/>
              </w:rPr>
              <w:t>10</w:t>
            </w:r>
          </w:p>
        </w:tc>
        <w:tc>
          <w:tcPr>
            <w:tcW w:w="1956" w:type="dxa"/>
            <w:shd w:val="clear" w:color="auto" w:fill="auto"/>
          </w:tcPr>
          <w:p>
            <w:pPr>
              <w:ind w:left="357" w:hanging="357"/>
              <w:jc w:val="center"/>
              <w:rPr>
                <w:bCs/>
                <w:kern w:val="2"/>
                <w:szCs w:val="24"/>
                <w:lang w:eastAsia="lt-LT"/>
              </w:rPr>
            </w:pPr>
            <w:r>
              <w:rPr>
                <w:bCs/>
                <w:kern w:val="2"/>
                <w:szCs w:val="24"/>
                <w:lang w:eastAsia="lt-LT"/>
              </w:rPr>
              <w:t>100</w:t>
            </w:r>
          </w:p>
        </w:tc>
        <w:tc>
          <w:tcPr>
            <w:tcW w:w="1959" w:type="dxa"/>
            <w:shd w:val="clear" w:color="auto" w:fill="auto"/>
          </w:tcPr>
          <w:p>
            <w:pPr>
              <w:ind w:left="357" w:hanging="357"/>
              <w:jc w:val="center"/>
              <w:rPr>
                <w:bCs/>
                <w:kern w:val="2"/>
                <w:szCs w:val="24"/>
                <w:lang w:eastAsia="lt-LT"/>
              </w:rPr>
            </w:pPr>
            <w:r>
              <w:rPr>
                <w:bCs/>
                <w:kern w:val="2"/>
                <w:szCs w:val="24"/>
                <w:lang w:eastAsia="lt-LT"/>
              </w:rPr>
              <w:t>-</w:t>
            </w:r>
          </w:p>
        </w:tc>
      </w:tr>
      <w:tr>
        <w:tc>
          <w:tcPr>
            <w:tcW w:w="756" w:type="dxa"/>
            <w:shd w:val="clear" w:color="auto" w:fill="auto"/>
          </w:tcPr>
          <w:p>
            <w:pPr>
              <w:ind w:left="357" w:hanging="357"/>
              <w:jc w:val="center"/>
              <w:rPr>
                <w:b/>
                <w:bCs/>
                <w:kern w:val="2"/>
                <w:szCs w:val="24"/>
                <w:lang w:eastAsia="lt-LT"/>
              </w:rPr>
            </w:pPr>
            <w:r>
              <w:rPr>
                <w:b/>
                <w:bCs/>
                <w:kern w:val="2"/>
                <w:szCs w:val="24"/>
                <w:lang w:eastAsia="lt-LT"/>
              </w:rPr>
              <w:t xml:space="preserve">2. </w:t>
            </w:r>
          </w:p>
        </w:tc>
        <w:tc>
          <w:tcPr>
            <w:tcW w:w="9099" w:type="dxa"/>
            <w:gridSpan w:val="4"/>
            <w:shd w:val="clear" w:color="auto" w:fill="auto"/>
          </w:tcPr>
          <w:p>
            <w:pPr>
              <w:ind w:left="357" w:hanging="357"/>
              <w:rPr>
                <w:b/>
                <w:bCs/>
                <w:kern w:val="2"/>
                <w:szCs w:val="24"/>
                <w:lang w:eastAsia="lt-LT"/>
              </w:rPr>
            </w:pPr>
            <w:r>
              <w:rPr>
                <w:b/>
                <w:kern w:val="2"/>
                <w:szCs w:val="24"/>
                <w:lang w:eastAsia="lt-LT"/>
              </w:rPr>
              <w:t>Prekyba, paslaugų teikimas masinių renginių metu (viena vieta)</w:t>
            </w:r>
          </w:p>
        </w:tc>
      </w:tr>
      <w:tr>
        <w:tc>
          <w:tcPr>
            <w:tcW w:w="756" w:type="dxa"/>
            <w:shd w:val="clear" w:color="auto" w:fill="auto"/>
          </w:tcPr>
          <w:p>
            <w:pPr>
              <w:ind w:left="357" w:hanging="357"/>
              <w:jc w:val="center"/>
              <w:rPr>
                <w:bCs/>
                <w:kern w:val="2"/>
                <w:szCs w:val="24"/>
                <w:lang w:eastAsia="lt-LT"/>
              </w:rPr>
            </w:pPr>
            <w:r>
              <w:rPr>
                <w:bCs/>
                <w:kern w:val="2"/>
                <w:szCs w:val="24"/>
                <w:lang w:eastAsia="lt-LT"/>
              </w:rPr>
              <w:t>2.1.</w:t>
            </w:r>
          </w:p>
        </w:tc>
        <w:tc>
          <w:tcPr>
            <w:tcW w:w="9099" w:type="dxa"/>
            <w:gridSpan w:val="4"/>
            <w:shd w:val="clear" w:color="auto" w:fill="auto"/>
          </w:tcPr>
          <w:p>
            <w:pPr>
              <w:ind w:left="357" w:hanging="357"/>
              <w:rPr>
                <w:bCs/>
                <w:kern w:val="2"/>
                <w:szCs w:val="24"/>
                <w:lang w:eastAsia="lt-LT"/>
              </w:rPr>
            </w:pPr>
            <w:r>
              <w:rPr>
                <w:kern w:val="2"/>
                <w:szCs w:val="24"/>
                <w:lang w:eastAsia="lt-LT"/>
              </w:rPr>
              <w:t>Biržų mieste</w:t>
            </w:r>
          </w:p>
        </w:tc>
      </w:tr>
      <w:tr>
        <w:tc>
          <w:tcPr>
            <w:tcW w:w="756" w:type="dxa"/>
            <w:shd w:val="clear" w:color="auto" w:fill="auto"/>
          </w:tcPr>
          <w:p>
            <w:pPr>
              <w:ind w:left="357" w:hanging="357"/>
              <w:jc w:val="center"/>
              <w:rPr>
                <w:bCs/>
                <w:kern w:val="2"/>
                <w:szCs w:val="24"/>
                <w:lang w:eastAsia="lt-LT"/>
              </w:rPr>
            </w:pPr>
            <w:r>
              <w:rPr>
                <w:bCs/>
                <w:kern w:val="2"/>
                <w:szCs w:val="24"/>
                <w:lang w:eastAsia="lt-LT"/>
              </w:rPr>
              <w:t>2.1.1.</w:t>
            </w:r>
          </w:p>
        </w:tc>
        <w:tc>
          <w:tcPr>
            <w:tcW w:w="3233" w:type="dxa"/>
            <w:shd w:val="clear" w:color="auto" w:fill="auto"/>
          </w:tcPr>
          <w:p>
            <w:pPr>
              <w:rPr>
                <w:kern w:val="2"/>
                <w:szCs w:val="24"/>
                <w:lang w:eastAsia="lt-LT"/>
              </w:rPr>
            </w:pPr>
            <w:r>
              <w:rPr>
                <w:kern w:val="2"/>
                <w:szCs w:val="24"/>
                <w:lang w:eastAsia="lt-LT"/>
              </w:rPr>
              <w:t>prekyba knygomis, spaudos leidiniais, tautodailės kūriniais</w:t>
            </w:r>
          </w:p>
        </w:tc>
        <w:tc>
          <w:tcPr>
            <w:tcW w:w="1951" w:type="dxa"/>
            <w:shd w:val="clear" w:color="auto" w:fill="auto"/>
          </w:tcPr>
          <w:p>
            <w:pPr>
              <w:ind w:left="357" w:hanging="357"/>
              <w:jc w:val="center"/>
              <w:rPr>
                <w:bCs/>
                <w:kern w:val="2"/>
                <w:szCs w:val="24"/>
                <w:lang w:eastAsia="lt-LT"/>
              </w:rPr>
            </w:pPr>
            <w:r>
              <w:rPr>
                <w:bCs/>
                <w:kern w:val="2"/>
                <w:szCs w:val="24"/>
                <w:lang w:eastAsia="lt-LT"/>
              </w:rPr>
              <w:t>10</w:t>
            </w:r>
          </w:p>
        </w:tc>
        <w:tc>
          <w:tcPr>
            <w:tcW w:w="1956" w:type="dxa"/>
            <w:shd w:val="clear" w:color="auto" w:fill="auto"/>
          </w:tcPr>
          <w:p>
            <w:pPr>
              <w:ind w:left="357" w:hanging="357"/>
              <w:jc w:val="center"/>
              <w:rPr>
                <w:bCs/>
                <w:kern w:val="2"/>
                <w:szCs w:val="24"/>
                <w:lang w:eastAsia="lt-LT"/>
              </w:rPr>
            </w:pPr>
            <w:r>
              <w:rPr>
                <w:bCs/>
                <w:kern w:val="2"/>
                <w:szCs w:val="24"/>
                <w:lang w:eastAsia="lt-LT"/>
              </w:rPr>
              <w:t>-</w:t>
            </w:r>
          </w:p>
        </w:tc>
        <w:tc>
          <w:tcPr>
            <w:tcW w:w="1959" w:type="dxa"/>
            <w:shd w:val="clear" w:color="auto" w:fill="auto"/>
          </w:tcPr>
          <w:p>
            <w:pPr>
              <w:ind w:left="357" w:hanging="357"/>
              <w:jc w:val="center"/>
              <w:rPr>
                <w:bCs/>
                <w:kern w:val="2"/>
                <w:szCs w:val="24"/>
                <w:lang w:eastAsia="lt-LT"/>
              </w:rPr>
            </w:pPr>
            <w:r>
              <w:rPr>
                <w:bCs/>
                <w:kern w:val="2"/>
                <w:szCs w:val="24"/>
                <w:lang w:eastAsia="lt-LT"/>
              </w:rPr>
              <w:t>-</w:t>
            </w:r>
          </w:p>
        </w:tc>
      </w:tr>
      <w:tr>
        <w:tc>
          <w:tcPr>
            <w:tcW w:w="756" w:type="dxa"/>
            <w:shd w:val="clear" w:color="auto" w:fill="auto"/>
          </w:tcPr>
          <w:p>
            <w:pPr>
              <w:ind w:left="357" w:hanging="357"/>
              <w:jc w:val="center"/>
              <w:rPr>
                <w:bCs/>
                <w:kern w:val="2"/>
                <w:szCs w:val="24"/>
                <w:lang w:eastAsia="lt-LT"/>
              </w:rPr>
            </w:pPr>
            <w:r>
              <w:rPr>
                <w:bCs/>
                <w:kern w:val="2"/>
                <w:szCs w:val="24"/>
                <w:lang w:eastAsia="lt-LT"/>
              </w:rPr>
              <w:t>2.1.2.</w:t>
            </w:r>
          </w:p>
        </w:tc>
        <w:tc>
          <w:tcPr>
            <w:tcW w:w="3233" w:type="dxa"/>
            <w:shd w:val="clear" w:color="auto" w:fill="auto"/>
          </w:tcPr>
          <w:p>
            <w:pPr>
              <w:rPr>
                <w:kern w:val="2"/>
                <w:szCs w:val="24"/>
                <w:lang w:eastAsia="lt-LT"/>
              </w:rPr>
            </w:pPr>
            <w:r>
              <w:rPr>
                <w:kern w:val="2"/>
                <w:szCs w:val="24"/>
                <w:lang w:eastAsia="lt-LT"/>
              </w:rPr>
              <w:t xml:space="preserve">prekyba kitomis prekėmis ar paslaugų teikimas (išskyrus laisvalaikio ir pramogų paslaugas) </w:t>
            </w:r>
          </w:p>
        </w:tc>
        <w:tc>
          <w:tcPr>
            <w:tcW w:w="1951" w:type="dxa"/>
            <w:shd w:val="clear" w:color="auto" w:fill="auto"/>
          </w:tcPr>
          <w:p>
            <w:pPr>
              <w:ind w:left="357" w:hanging="357"/>
              <w:jc w:val="center"/>
              <w:rPr>
                <w:bCs/>
                <w:kern w:val="2"/>
                <w:szCs w:val="24"/>
                <w:lang w:eastAsia="lt-LT"/>
              </w:rPr>
            </w:pPr>
            <w:r>
              <w:rPr>
                <w:bCs/>
                <w:kern w:val="2"/>
                <w:szCs w:val="24"/>
                <w:lang w:eastAsia="lt-LT"/>
              </w:rPr>
              <w:t>15</w:t>
            </w:r>
          </w:p>
          <w:p>
            <w:pPr>
              <w:ind w:left="357" w:hanging="357"/>
              <w:jc w:val="center"/>
              <w:rPr>
                <w:bCs/>
                <w:kern w:val="2"/>
                <w:szCs w:val="24"/>
                <w:lang w:eastAsia="lt-LT"/>
              </w:rPr>
            </w:pPr>
            <w:r>
              <w:rPr>
                <w:bCs/>
                <w:kern w:val="2"/>
                <w:szCs w:val="24"/>
                <w:lang w:eastAsia="lt-LT"/>
              </w:rPr>
              <w:t>30*</w:t>
            </w:r>
          </w:p>
          <w:p>
            <w:pPr>
              <w:ind w:left="357" w:hanging="357"/>
              <w:jc w:val="center"/>
              <w:rPr>
                <w:bCs/>
                <w:kern w:val="2"/>
                <w:szCs w:val="24"/>
                <w:lang w:eastAsia="lt-LT"/>
              </w:rPr>
            </w:pPr>
            <w:r>
              <w:rPr>
                <w:bCs/>
                <w:kern w:val="2"/>
                <w:szCs w:val="24"/>
                <w:lang w:eastAsia="lt-LT"/>
              </w:rPr>
              <w:t>50**</w:t>
            </w:r>
          </w:p>
        </w:tc>
        <w:tc>
          <w:tcPr>
            <w:tcW w:w="1956" w:type="dxa"/>
            <w:shd w:val="clear" w:color="auto" w:fill="auto"/>
          </w:tcPr>
          <w:p>
            <w:pPr>
              <w:ind w:left="357" w:hanging="357"/>
              <w:jc w:val="center"/>
              <w:rPr>
                <w:bCs/>
                <w:kern w:val="2"/>
                <w:szCs w:val="24"/>
                <w:lang w:eastAsia="lt-LT"/>
              </w:rPr>
            </w:pPr>
            <w:r>
              <w:rPr>
                <w:bCs/>
                <w:kern w:val="2"/>
                <w:szCs w:val="24"/>
                <w:lang w:eastAsia="lt-LT"/>
              </w:rPr>
              <w:t>-</w:t>
            </w:r>
          </w:p>
        </w:tc>
        <w:tc>
          <w:tcPr>
            <w:tcW w:w="1959" w:type="dxa"/>
            <w:shd w:val="clear" w:color="auto" w:fill="auto"/>
          </w:tcPr>
          <w:p>
            <w:pPr>
              <w:ind w:left="357" w:hanging="357"/>
              <w:jc w:val="center"/>
              <w:rPr>
                <w:bCs/>
                <w:kern w:val="2"/>
                <w:szCs w:val="24"/>
                <w:lang w:eastAsia="lt-LT"/>
              </w:rPr>
            </w:pPr>
            <w:r>
              <w:rPr>
                <w:bCs/>
                <w:kern w:val="2"/>
                <w:szCs w:val="24"/>
                <w:lang w:eastAsia="lt-LT"/>
              </w:rPr>
              <w:t>-</w:t>
            </w:r>
          </w:p>
        </w:tc>
      </w:tr>
      <w:tr>
        <w:tc>
          <w:tcPr>
            <w:tcW w:w="756" w:type="dxa"/>
            <w:shd w:val="clear" w:color="auto" w:fill="auto"/>
          </w:tcPr>
          <w:p>
            <w:pPr>
              <w:ind w:left="357" w:hanging="357"/>
              <w:jc w:val="center"/>
              <w:rPr>
                <w:bCs/>
                <w:kern w:val="2"/>
                <w:szCs w:val="24"/>
                <w:lang w:eastAsia="lt-LT"/>
              </w:rPr>
            </w:pPr>
            <w:r>
              <w:rPr>
                <w:bCs/>
                <w:kern w:val="2"/>
                <w:szCs w:val="24"/>
                <w:lang w:eastAsia="lt-LT"/>
              </w:rPr>
              <w:t>2.1.3.</w:t>
            </w:r>
          </w:p>
        </w:tc>
        <w:tc>
          <w:tcPr>
            <w:tcW w:w="3233" w:type="dxa"/>
            <w:shd w:val="clear" w:color="auto" w:fill="auto"/>
          </w:tcPr>
          <w:p>
            <w:pPr>
              <w:rPr>
                <w:kern w:val="2"/>
                <w:szCs w:val="24"/>
                <w:lang w:eastAsia="lt-LT"/>
              </w:rPr>
            </w:pPr>
            <w:r>
              <w:rPr>
                <w:kern w:val="2"/>
                <w:szCs w:val="24"/>
                <w:lang w:eastAsia="lt-LT"/>
              </w:rPr>
              <w:t xml:space="preserve">laisvalaikio ir pramogų paslaugų teikimas  už vienos paslaugos rūšį</w:t>
            </w:r>
          </w:p>
        </w:tc>
        <w:tc>
          <w:tcPr>
            <w:tcW w:w="1951" w:type="dxa"/>
            <w:shd w:val="clear" w:color="auto" w:fill="auto"/>
          </w:tcPr>
          <w:p>
            <w:pPr>
              <w:ind w:left="357" w:hanging="357"/>
              <w:jc w:val="center"/>
              <w:rPr>
                <w:bCs/>
                <w:kern w:val="2"/>
                <w:szCs w:val="24"/>
                <w:lang w:eastAsia="lt-LT"/>
              </w:rPr>
            </w:pPr>
            <w:r>
              <w:rPr>
                <w:bCs/>
                <w:kern w:val="2"/>
                <w:szCs w:val="24"/>
                <w:lang w:eastAsia="lt-LT"/>
              </w:rPr>
              <w:t>30</w:t>
            </w:r>
          </w:p>
        </w:tc>
        <w:tc>
          <w:tcPr>
            <w:tcW w:w="1956" w:type="dxa"/>
            <w:shd w:val="clear" w:color="auto" w:fill="auto"/>
          </w:tcPr>
          <w:p>
            <w:pPr>
              <w:ind w:left="357" w:hanging="357"/>
              <w:jc w:val="center"/>
              <w:rPr>
                <w:bCs/>
                <w:kern w:val="2"/>
                <w:szCs w:val="24"/>
                <w:lang w:eastAsia="lt-LT"/>
              </w:rPr>
            </w:pPr>
            <w:r>
              <w:rPr>
                <w:bCs/>
                <w:kern w:val="2"/>
                <w:szCs w:val="24"/>
                <w:lang w:eastAsia="lt-LT"/>
              </w:rPr>
              <w:t>-</w:t>
            </w:r>
          </w:p>
        </w:tc>
        <w:tc>
          <w:tcPr>
            <w:tcW w:w="1959" w:type="dxa"/>
            <w:shd w:val="clear" w:color="auto" w:fill="auto"/>
          </w:tcPr>
          <w:p>
            <w:pPr>
              <w:ind w:left="357" w:hanging="357"/>
              <w:jc w:val="center"/>
              <w:rPr>
                <w:bCs/>
                <w:kern w:val="2"/>
                <w:szCs w:val="24"/>
                <w:lang w:eastAsia="lt-LT"/>
              </w:rPr>
            </w:pPr>
            <w:r>
              <w:rPr>
                <w:bCs/>
                <w:kern w:val="2"/>
                <w:szCs w:val="24"/>
                <w:lang w:eastAsia="lt-LT"/>
              </w:rPr>
              <w:t>-</w:t>
            </w:r>
          </w:p>
        </w:tc>
      </w:tr>
      <w:tr>
        <w:tc>
          <w:tcPr>
            <w:tcW w:w="756" w:type="dxa"/>
            <w:shd w:val="clear" w:color="auto" w:fill="auto"/>
          </w:tcPr>
          <w:p>
            <w:pPr>
              <w:ind w:left="357" w:hanging="357"/>
              <w:jc w:val="center"/>
              <w:rPr>
                <w:bCs/>
                <w:kern w:val="2"/>
                <w:szCs w:val="24"/>
                <w:lang w:eastAsia="lt-LT"/>
              </w:rPr>
            </w:pPr>
            <w:r>
              <w:rPr>
                <w:bCs/>
                <w:kern w:val="2"/>
                <w:szCs w:val="24"/>
                <w:lang w:eastAsia="lt-LT"/>
              </w:rPr>
              <w:t>2.2.</w:t>
            </w:r>
          </w:p>
        </w:tc>
        <w:tc>
          <w:tcPr>
            <w:tcW w:w="9099" w:type="dxa"/>
            <w:gridSpan w:val="4"/>
            <w:shd w:val="clear" w:color="auto" w:fill="auto"/>
          </w:tcPr>
          <w:p>
            <w:pPr>
              <w:rPr>
                <w:bCs/>
                <w:kern w:val="2"/>
                <w:szCs w:val="24"/>
                <w:lang w:eastAsia="lt-LT"/>
              </w:rPr>
            </w:pPr>
            <w:r>
              <w:rPr>
                <w:kern w:val="2"/>
                <w:szCs w:val="24"/>
                <w:lang w:eastAsia="lt-LT"/>
              </w:rPr>
              <w:t>Kitose seniūnijose</w:t>
            </w:r>
          </w:p>
        </w:tc>
      </w:tr>
      <w:tr>
        <w:tc>
          <w:tcPr>
            <w:tcW w:w="756" w:type="dxa"/>
            <w:shd w:val="clear" w:color="auto" w:fill="auto"/>
          </w:tcPr>
          <w:p>
            <w:pPr>
              <w:ind w:left="357" w:hanging="357"/>
              <w:jc w:val="center"/>
              <w:rPr>
                <w:bCs/>
                <w:kern w:val="2"/>
                <w:szCs w:val="24"/>
                <w:lang w:eastAsia="lt-LT"/>
              </w:rPr>
            </w:pPr>
            <w:r>
              <w:rPr>
                <w:bCs/>
                <w:kern w:val="2"/>
                <w:szCs w:val="24"/>
                <w:lang w:eastAsia="lt-LT"/>
              </w:rPr>
              <w:t>2.2.1.</w:t>
            </w:r>
          </w:p>
        </w:tc>
        <w:tc>
          <w:tcPr>
            <w:tcW w:w="3233" w:type="dxa"/>
            <w:shd w:val="clear" w:color="auto" w:fill="auto"/>
          </w:tcPr>
          <w:p>
            <w:pPr>
              <w:rPr>
                <w:kern w:val="2"/>
                <w:szCs w:val="24"/>
                <w:lang w:eastAsia="lt-LT"/>
              </w:rPr>
            </w:pPr>
            <w:r>
              <w:rPr>
                <w:kern w:val="2"/>
                <w:szCs w:val="24"/>
                <w:lang w:eastAsia="lt-LT"/>
              </w:rPr>
              <w:t>prekyba knygomis, spaudos leidiniais, tautodailės kūriniais</w:t>
            </w:r>
          </w:p>
        </w:tc>
        <w:tc>
          <w:tcPr>
            <w:tcW w:w="1951" w:type="dxa"/>
            <w:shd w:val="clear" w:color="auto" w:fill="auto"/>
          </w:tcPr>
          <w:p>
            <w:pPr>
              <w:ind w:left="357" w:hanging="357"/>
              <w:jc w:val="center"/>
              <w:rPr>
                <w:bCs/>
                <w:kern w:val="2"/>
                <w:szCs w:val="24"/>
                <w:lang w:eastAsia="lt-LT"/>
              </w:rPr>
            </w:pPr>
            <w:r>
              <w:rPr>
                <w:bCs/>
                <w:kern w:val="2"/>
                <w:szCs w:val="24"/>
                <w:lang w:eastAsia="lt-LT"/>
              </w:rPr>
              <w:t>5</w:t>
            </w:r>
          </w:p>
        </w:tc>
        <w:tc>
          <w:tcPr>
            <w:tcW w:w="1956" w:type="dxa"/>
            <w:shd w:val="clear" w:color="auto" w:fill="auto"/>
          </w:tcPr>
          <w:p>
            <w:pPr>
              <w:ind w:left="357" w:hanging="357"/>
              <w:jc w:val="center"/>
              <w:rPr>
                <w:bCs/>
                <w:kern w:val="2"/>
                <w:szCs w:val="24"/>
                <w:lang w:eastAsia="lt-LT"/>
              </w:rPr>
            </w:pPr>
            <w:r>
              <w:rPr>
                <w:bCs/>
                <w:kern w:val="2"/>
                <w:szCs w:val="24"/>
                <w:lang w:eastAsia="lt-LT"/>
              </w:rPr>
              <w:t>-</w:t>
            </w:r>
          </w:p>
        </w:tc>
        <w:tc>
          <w:tcPr>
            <w:tcW w:w="1959" w:type="dxa"/>
            <w:shd w:val="clear" w:color="auto" w:fill="auto"/>
          </w:tcPr>
          <w:p>
            <w:pPr>
              <w:ind w:left="357" w:hanging="357"/>
              <w:jc w:val="center"/>
              <w:rPr>
                <w:bCs/>
                <w:kern w:val="2"/>
                <w:szCs w:val="24"/>
                <w:lang w:eastAsia="lt-LT"/>
              </w:rPr>
            </w:pPr>
            <w:r>
              <w:rPr>
                <w:bCs/>
                <w:kern w:val="2"/>
                <w:szCs w:val="24"/>
                <w:lang w:eastAsia="lt-LT"/>
              </w:rPr>
              <w:t>-</w:t>
            </w:r>
          </w:p>
        </w:tc>
      </w:tr>
      <w:tr>
        <w:tc>
          <w:tcPr>
            <w:tcW w:w="756" w:type="dxa"/>
            <w:shd w:val="clear" w:color="auto" w:fill="auto"/>
          </w:tcPr>
          <w:p>
            <w:pPr>
              <w:ind w:left="357" w:hanging="357"/>
              <w:jc w:val="center"/>
              <w:rPr>
                <w:bCs/>
                <w:kern w:val="2"/>
                <w:szCs w:val="24"/>
                <w:lang w:eastAsia="lt-LT"/>
              </w:rPr>
            </w:pPr>
            <w:r>
              <w:rPr>
                <w:bCs/>
                <w:kern w:val="2"/>
                <w:szCs w:val="24"/>
                <w:lang w:eastAsia="lt-LT"/>
              </w:rPr>
              <w:t>2.2.2.</w:t>
            </w:r>
          </w:p>
        </w:tc>
        <w:tc>
          <w:tcPr>
            <w:tcW w:w="3233" w:type="dxa"/>
            <w:shd w:val="clear" w:color="auto" w:fill="auto"/>
          </w:tcPr>
          <w:p>
            <w:pPr>
              <w:rPr>
                <w:kern w:val="2"/>
                <w:szCs w:val="24"/>
                <w:lang w:eastAsia="lt-LT"/>
              </w:rPr>
            </w:pPr>
            <w:r>
              <w:rPr>
                <w:kern w:val="2"/>
                <w:szCs w:val="24"/>
                <w:lang w:eastAsia="lt-LT"/>
              </w:rPr>
              <w:t xml:space="preserve">prekyba kitomis prekėmis ar paslaugų teikimas (išskyrus laisvalaikio ir pramogų paslaugas) </w:t>
            </w:r>
          </w:p>
        </w:tc>
        <w:tc>
          <w:tcPr>
            <w:tcW w:w="1951" w:type="dxa"/>
            <w:shd w:val="clear" w:color="auto" w:fill="auto"/>
          </w:tcPr>
          <w:p>
            <w:pPr>
              <w:ind w:left="357" w:hanging="357"/>
              <w:jc w:val="center"/>
              <w:rPr>
                <w:bCs/>
                <w:kern w:val="2"/>
                <w:szCs w:val="24"/>
                <w:lang w:eastAsia="lt-LT"/>
              </w:rPr>
            </w:pPr>
            <w:r>
              <w:rPr>
                <w:bCs/>
                <w:kern w:val="2"/>
                <w:szCs w:val="24"/>
                <w:lang w:eastAsia="lt-LT"/>
              </w:rPr>
              <w:t>10</w:t>
            </w:r>
          </w:p>
          <w:p>
            <w:pPr>
              <w:ind w:left="357" w:hanging="357"/>
              <w:jc w:val="center"/>
              <w:rPr>
                <w:bCs/>
                <w:kern w:val="2"/>
                <w:szCs w:val="24"/>
                <w:lang w:eastAsia="lt-LT"/>
              </w:rPr>
            </w:pPr>
            <w:r>
              <w:rPr>
                <w:bCs/>
                <w:kern w:val="2"/>
                <w:szCs w:val="24"/>
                <w:lang w:eastAsia="lt-LT"/>
              </w:rPr>
              <w:t>50**</w:t>
            </w:r>
          </w:p>
        </w:tc>
        <w:tc>
          <w:tcPr>
            <w:tcW w:w="1956" w:type="dxa"/>
            <w:shd w:val="clear" w:color="auto" w:fill="auto"/>
          </w:tcPr>
          <w:p>
            <w:pPr>
              <w:ind w:left="357" w:hanging="357"/>
              <w:jc w:val="center"/>
              <w:rPr>
                <w:bCs/>
                <w:kern w:val="2"/>
                <w:szCs w:val="24"/>
                <w:lang w:eastAsia="lt-LT"/>
              </w:rPr>
            </w:pPr>
            <w:r>
              <w:rPr>
                <w:bCs/>
                <w:kern w:val="2"/>
                <w:szCs w:val="24"/>
                <w:lang w:eastAsia="lt-LT"/>
              </w:rPr>
              <w:t>-</w:t>
            </w:r>
          </w:p>
        </w:tc>
        <w:tc>
          <w:tcPr>
            <w:tcW w:w="1959" w:type="dxa"/>
            <w:shd w:val="clear" w:color="auto" w:fill="auto"/>
          </w:tcPr>
          <w:p>
            <w:pPr>
              <w:ind w:left="357" w:hanging="357"/>
              <w:jc w:val="center"/>
              <w:rPr>
                <w:bCs/>
                <w:kern w:val="2"/>
                <w:szCs w:val="24"/>
                <w:lang w:eastAsia="lt-LT"/>
              </w:rPr>
            </w:pPr>
            <w:r>
              <w:rPr>
                <w:bCs/>
                <w:kern w:val="2"/>
                <w:szCs w:val="24"/>
                <w:lang w:eastAsia="lt-LT"/>
              </w:rPr>
              <w:t>-</w:t>
            </w:r>
          </w:p>
        </w:tc>
      </w:tr>
      <w:tr>
        <w:tc>
          <w:tcPr>
            <w:tcW w:w="756" w:type="dxa"/>
            <w:shd w:val="clear" w:color="auto" w:fill="auto"/>
          </w:tcPr>
          <w:p>
            <w:pPr>
              <w:ind w:left="357" w:hanging="357"/>
              <w:jc w:val="center"/>
              <w:rPr>
                <w:bCs/>
                <w:kern w:val="2"/>
                <w:szCs w:val="24"/>
                <w:lang w:eastAsia="lt-LT"/>
              </w:rPr>
            </w:pPr>
            <w:r>
              <w:rPr>
                <w:bCs/>
                <w:kern w:val="2"/>
                <w:szCs w:val="24"/>
                <w:lang w:eastAsia="lt-LT"/>
              </w:rPr>
              <w:t>2.2.3.</w:t>
            </w:r>
          </w:p>
        </w:tc>
        <w:tc>
          <w:tcPr>
            <w:tcW w:w="3233" w:type="dxa"/>
            <w:shd w:val="clear" w:color="auto" w:fill="auto"/>
          </w:tcPr>
          <w:p>
            <w:pPr>
              <w:rPr>
                <w:kern w:val="2"/>
                <w:szCs w:val="24"/>
                <w:lang w:eastAsia="lt-LT"/>
              </w:rPr>
            </w:pPr>
            <w:r>
              <w:rPr>
                <w:kern w:val="2"/>
                <w:szCs w:val="24"/>
                <w:lang w:eastAsia="lt-LT"/>
              </w:rPr>
              <w:t xml:space="preserve">laisvalaikio ir pramogų paslaugų teikimas  už vienos paslaugos rūšį</w:t>
            </w:r>
          </w:p>
        </w:tc>
        <w:tc>
          <w:tcPr>
            <w:tcW w:w="1951" w:type="dxa"/>
            <w:shd w:val="clear" w:color="auto" w:fill="auto"/>
          </w:tcPr>
          <w:p>
            <w:pPr>
              <w:ind w:left="357" w:hanging="357"/>
              <w:jc w:val="center"/>
              <w:rPr>
                <w:bCs/>
                <w:kern w:val="2"/>
                <w:szCs w:val="24"/>
                <w:lang w:eastAsia="lt-LT"/>
              </w:rPr>
            </w:pPr>
            <w:r>
              <w:rPr>
                <w:bCs/>
                <w:kern w:val="2"/>
                <w:szCs w:val="24"/>
                <w:lang w:eastAsia="lt-LT"/>
              </w:rPr>
              <w:t>15</w:t>
            </w:r>
          </w:p>
        </w:tc>
        <w:tc>
          <w:tcPr>
            <w:tcW w:w="1956" w:type="dxa"/>
            <w:shd w:val="clear" w:color="auto" w:fill="auto"/>
          </w:tcPr>
          <w:p>
            <w:pPr>
              <w:ind w:left="357" w:hanging="357"/>
              <w:jc w:val="center"/>
              <w:rPr>
                <w:bCs/>
                <w:kern w:val="2"/>
                <w:szCs w:val="24"/>
                <w:lang w:eastAsia="lt-LT"/>
              </w:rPr>
            </w:pPr>
            <w:r>
              <w:rPr>
                <w:bCs/>
                <w:kern w:val="2"/>
                <w:szCs w:val="24"/>
                <w:lang w:eastAsia="lt-LT"/>
              </w:rPr>
              <w:t>-</w:t>
            </w:r>
          </w:p>
        </w:tc>
        <w:tc>
          <w:tcPr>
            <w:tcW w:w="1959" w:type="dxa"/>
            <w:shd w:val="clear" w:color="auto" w:fill="auto"/>
          </w:tcPr>
          <w:p>
            <w:pPr>
              <w:ind w:left="357" w:hanging="357"/>
              <w:jc w:val="center"/>
              <w:rPr>
                <w:bCs/>
                <w:kern w:val="2"/>
                <w:szCs w:val="24"/>
                <w:lang w:eastAsia="lt-LT"/>
              </w:rPr>
            </w:pPr>
            <w:r>
              <w:rPr>
                <w:bCs/>
                <w:kern w:val="2"/>
                <w:szCs w:val="24"/>
                <w:lang w:eastAsia="lt-LT"/>
              </w:rPr>
              <w:t>-</w:t>
            </w:r>
          </w:p>
        </w:tc>
      </w:tr>
    </w:tbl>
    <w:p>
      <w:pPr>
        <w:ind w:firstLine="142"/>
        <w:jc w:val="both"/>
        <w:rPr>
          <w:kern w:val="2"/>
          <w:szCs w:val="24"/>
        </w:rPr>
      </w:pPr>
    </w:p>
    <w:p>
      <w:pPr>
        <w:ind w:firstLine="142"/>
        <w:jc w:val="both"/>
        <w:rPr>
          <w:kern w:val="2"/>
          <w:szCs w:val="24"/>
        </w:rPr>
      </w:pPr>
      <w:r>
        <w:rPr>
          <w:kern w:val="2"/>
          <w:szCs w:val="24"/>
        </w:rPr>
        <w:t xml:space="preserve">*  Kalėdinės mugės, Velykinės mugės, Rudens mugės metu. </w:t>
      </w:r>
    </w:p>
    <w:p>
      <w:pPr>
        <w:ind w:firstLine="142"/>
        <w:jc w:val="both"/>
        <w:rPr>
          <w:kern w:val="2"/>
          <w:szCs w:val="24"/>
        </w:rPr>
      </w:pPr>
      <w:r>
        <w:rPr>
          <w:kern w:val="2"/>
          <w:szCs w:val="24"/>
        </w:rPr>
        <w:t>** Biržų miesto šventės metu, kitų masinių komercinių renginių metu.</w:t>
      </w:r>
    </w:p>
    <w:p>
      <w:pPr>
        <w:ind w:firstLine="142"/>
        <w:jc w:val="both"/>
        <w:rPr>
          <w:kern w:val="2"/>
          <w:szCs w:val="24"/>
        </w:rPr>
      </w:pPr>
    </w:p>
    <w:p>
      <w:pPr>
        <w:ind w:firstLine="720"/>
        <w:jc w:val="both"/>
        <w:rPr>
          <w:szCs w:val="24"/>
        </w:rPr>
      </w:pPr>
    </w:p>
    <w:p>
      <w:pPr>
        <w:jc w:val="center"/>
      </w:pPr>
      <w:r>
        <w:rPr>
          <w:szCs w:val="24"/>
        </w:rPr>
        <w:t>________________________</w:t>
      </w:r>
    </w:p>
    <w:p>
      <w:pPr>
        <w:pStyle w:val="PlainText"/>
        <w:rPr>
          <w:rFonts w:ascii="Times New Roman" w:eastAsia="MS Mincho" w:hAnsi="Times New Roman"/>
          <w:sz w:val="20"/>
          <w:i/>
          <w:iCs/>
        </w:rPr>
      </w:pPr>
      <w:r>
        <w:rPr>
          <w:rFonts w:ascii="Times New Roman" w:eastAsia="MS Mincho" w:hAnsi="Times New Roman"/>
          <w:sz w:val="20"/>
          <w:i/>
          <w:iCs/>
        </w:rPr>
        <w:t>Priedo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b34382c1abd211eb8bc8b1cdd5d7f785">
        <w:r w:rsidRPr="00532B9F">
          <w:rPr>
            <w:rFonts w:ascii="Times New Roman" w:eastAsia="MS Mincho" w:hAnsi="Times New Roman"/>
            <w:sz w:val="20"/>
            <w:i/>
            <w:iCs/>
            <w:color w:val="0000FF" w:themeColor="hyperlink"/>
            <w:u w:val="single"/>
          </w:rPr>
          <w:t>T-152</w:t>
        </w:r>
      </w:fldSimple>
      <w:r>
        <w:rPr>
          <w:rFonts w:ascii="Times New Roman" w:eastAsia="MS Mincho" w:hAnsi="Times New Roman"/>
          <w:sz w:val="20"/>
          <w:i/>
          <w:iCs/>
        </w:rPr>
        <w:t>,
2021-04-30,
paskelbta TAR 2021-05-03, i. k. 2021-09395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7bcdee90edae11ee9f5b8ffa077f9188">
        <w:r w:rsidRPr="00532B9F">
          <w:rPr>
            <w:rFonts w:ascii="Times New Roman" w:eastAsia="MS Mincho" w:hAnsi="Times New Roman"/>
            <w:sz w:val="20"/>
            <w:i/>
            <w:iCs/>
            <w:color w:val="0000FF" w:themeColor="hyperlink"/>
            <w:u w:val="single"/>
          </w:rPr>
          <w:t>T-78</w:t>
        </w:r>
      </w:fldSimple>
      <w:r>
        <w:rPr>
          <w:rFonts w:ascii="Times New Roman" w:eastAsia="MS Mincho" w:hAnsi="Times New Roman"/>
          <w:sz w:val="20"/>
          <w:i/>
          <w:iCs/>
        </w:rPr>
        <w:t>,
2024-03-29,
paskelbta TAR 2024-03-29, i. k. 2024-05827            </w:t>
      </w:r>
    </w:p>
    <w:p/>
    <w:p>
      <w:pPr>
        <w:jc w:val="both"/>
        <w:rPr>
          <w:rFonts w:ascii="Times New Roman" w:hAnsi="Times New Roman"/>
          <w:sz w:val="20"/>
          <w:b/>
        </w:rPr>
      </w:pPr>
    </w:p>
    <w:p>
      <w:pPr>
        <w:jc w:val="both"/>
        <w:rPr>
          <w:rFonts w:ascii="Times New Roman" w:hAnsi="Times New Roman"/>
          <w:sz w:val="20"/>
          <w:b/>
        </w:rPr>
      </w:pPr>
    </w:p>
    <w:p>
      <w:pPr>
        <w:jc w:val="both"/>
        <w:rPr>
          <w:rFonts w:ascii="Times New Roman" w:hAnsi="Times New Roman"/>
          <w:b/>
        </w:rPr>
      </w:pPr>
      <w:r>
        <w:rPr>
          <w:rFonts w:ascii="Times New Roman" w:hAnsi="Times New Roman"/>
          <w:sz w:val="20"/>
          <w:b/>
        </w:rPr>
        <w:t>Pakeitimai:</w:t>
      </w:r>
    </w:p>
    <w:p>
      <w:pPr>
        <w:jc w:val="both"/>
        <w:rPr>
          <w:rFonts w:ascii="Times New Roman" w:hAnsi="Times New Roman"/>
          <w:sz w:val="20"/>
        </w:rPr>
      </w:pPr>
    </w:p>
    <w:p>
      <w:pPr>
        <w:jc w:val="both"/>
        <w:rPr>
          <w:rFonts w:ascii="Times New Roman" w:hAnsi="Times New Roman"/>
        </w:rPr>
      </w:pPr>
      <w:r>
        <w:rPr>
          <w:rFonts w:ascii="Times New Roman" w:hAnsi="Times New Roman"/>
          <w:sz w:val="20"/>
        </w:rPr>
        <w:t>1.</w:t>
      </w:r>
    </w:p>
    <w:p>
      <w:pPr>
        <w:jc w:val="both"/>
        <w:rPr>
          <w:rFonts w:ascii="Times New Roman" w:hAnsi="Times New Roman"/>
        </w:rPr>
      </w:pPr>
      <w:r>
        <w:rPr>
          <w:rFonts w:ascii="Times New Roman" w:hAnsi="Times New Roman"/>
          <w:sz w:val="20"/>
        </w:rPr>
        <w:t>
                    Biržų rajono savivaldybės taryba, Sprendimas
                </w:t>
      </w:r>
    </w:p>
    <w:p>
      <w:pPr>
        <w:jc w:val="both"/>
        <w:rPr>
          <w:rFonts w:ascii="Times New Roman" w:hAnsi="Times New Roman"/>
        </w:rPr>
      </w:pPr>
      <w:r>
        <w:rPr>
          <w:rFonts w:ascii="Times New Roman" w:hAnsi="Times New Roman"/>
          <w:sz w:val="20"/>
        </w:rPr>
        <w:t xml:space="preserve">Nr. </w:t>
      </w:r>
      <w:fldSimple w:instr="HYPERLINK https://www.e-tar.lt/portal/legalAct.html?documentId=b34382c1abd211eb8bc8b1cdd5d7f785">
        <w:r w:rsidRPr="00532B9F">
          <w:rPr>
            <w:rFonts w:ascii="Times New Roman" w:eastAsia="MS Mincho" w:hAnsi="Times New Roman"/>
            <w:sz w:val="20"/>
            <w:iCs/>
            <w:color w:val="0000FF" w:themeColor="hyperlink"/>
            <w:u w:val="single"/>
          </w:rPr>
          <w:t>T-152</w:t>
        </w:r>
      </w:fldSimple>
      <w:r>
        <w:rPr>
          <w:rFonts w:ascii="Times New Roman" w:eastAsia="MS Mincho" w:hAnsi="Times New Roman"/>
          <w:sz w:val="20"/>
          <w:iCs/>
        </w:rPr>
        <w:t>,
2021-04-30,
paskelbta TAR 2021-05-03, i. k. 2021-09395                </w:t>
      </w:r>
    </w:p>
    <w:p>
      <w:pPr>
        <w:jc w:val="both"/>
        <w:rPr>
          <w:rFonts w:ascii="Times New Roman" w:hAnsi="Times New Roman"/>
        </w:rPr>
      </w:pPr>
      <w:r>
        <w:rPr>
          <w:rFonts w:ascii="Times New Roman" w:hAnsi="Times New Roman"/>
          <w:sz w:val="20"/>
        </w:rPr>
        <w:t>Dėl vietinės rinkliavos už leidimo prekiauti ar teikti paslaugas Biržų rajono savivaldybės viešosiose vietose išdavimą lengvatos</w:t>
      </w:r>
    </w:p>
    <w:p>
      <w:pPr>
        <w:jc w:val="both"/>
        <w:rPr>
          <w:rFonts w:ascii="Times New Roman" w:hAnsi="Times New Roman"/>
          <w:sz w:val="20"/>
        </w:rPr>
      </w:pPr>
    </w:p>
    <w:p>
      <w:pPr>
        <w:jc w:val="both"/>
        <w:rPr>
          <w:rFonts w:ascii="Times New Roman" w:hAnsi="Times New Roman"/>
        </w:rPr>
      </w:pPr>
      <w:r>
        <w:rPr>
          <w:rFonts w:ascii="Times New Roman" w:hAnsi="Times New Roman"/>
          <w:sz w:val="20"/>
        </w:rPr>
        <w:t>2.</w:t>
      </w:r>
    </w:p>
    <w:p>
      <w:pPr>
        <w:jc w:val="both"/>
        <w:rPr>
          <w:rFonts w:ascii="Times New Roman" w:hAnsi="Times New Roman"/>
        </w:rPr>
      </w:pPr>
      <w:r>
        <w:rPr>
          <w:rFonts w:ascii="Times New Roman" w:hAnsi="Times New Roman"/>
          <w:sz w:val="20"/>
        </w:rPr>
        <w:t>
                    Biržų rajono savivaldybės taryba, Sprendimas
                </w:t>
      </w:r>
    </w:p>
    <w:p>
      <w:pPr>
        <w:jc w:val="both"/>
        <w:rPr>
          <w:rFonts w:ascii="Times New Roman" w:hAnsi="Times New Roman"/>
        </w:rPr>
      </w:pPr>
      <w:r>
        <w:rPr>
          <w:rFonts w:ascii="Times New Roman" w:hAnsi="Times New Roman"/>
          <w:sz w:val="20"/>
        </w:rPr>
        <w:t xml:space="preserve">Nr. </w:t>
      </w:r>
      <w:fldSimple w:instr="HYPERLINK https://www.e-tar.lt/portal/legalAct.html?documentId=7bcdee90edae11ee9f5b8ffa077f9188">
        <w:r w:rsidRPr="00532B9F">
          <w:rPr>
            <w:rFonts w:ascii="Times New Roman" w:eastAsia="MS Mincho" w:hAnsi="Times New Roman"/>
            <w:sz w:val="20"/>
            <w:iCs/>
            <w:color w:val="0000FF" w:themeColor="hyperlink"/>
            <w:u w:val="single"/>
          </w:rPr>
          <w:t>T-78</w:t>
        </w:r>
      </w:fldSimple>
      <w:r>
        <w:rPr>
          <w:rFonts w:ascii="Times New Roman" w:eastAsia="MS Mincho" w:hAnsi="Times New Roman"/>
          <w:sz w:val="20"/>
          <w:iCs/>
        </w:rPr>
        <w:t>,
2024-03-29,
paskelbta TAR 2024-03-29, i. k. 2024-05827                </w:t>
      </w:r>
    </w:p>
    <w:p>
      <w:pPr>
        <w:jc w:val="both"/>
        <w:rPr>
          <w:rFonts w:ascii="Times New Roman" w:hAnsi="Times New Roman"/>
        </w:rPr>
      </w:pPr>
      <w:r>
        <w:rPr>
          <w:rFonts w:ascii="Times New Roman" w:hAnsi="Times New Roman"/>
          <w:sz w:val="20"/>
        </w:rPr>
        <w:t>Dėl Biržų rajono savivaldybės tarybos 2021 m. kovo 26 d. sprendimo Nr. T-98 „Dėl Vietinės rinkliavos už leidimo prekiauti ar teikti paslaugas Biržų rajono savivaldybės viešosiose vietose išdavimą nuostatų patvirtinimo“ pakeitimo</w:t>
      </w:r>
    </w:p>
    <w:p>
      <w:pPr>
        <w:jc w:val="both"/>
        <w:rPr>
          <w:rFonts w:ascii="Times New Roman" w:hAnsi="Times New Roman"/>
          <w:sz w:val="20"/>
        </w:rPr>
      </w:pPr>
    </w:p>
    <w:p>
      <w:pPr>
        <w:widowControl w:val="0"/>
        <w:rPr>
          <w:rFonts w:ascii="Times New Roman" w:hAnsi="Times New Roman"/>
          <w:snapToGrid w:val="0"/>
        </w:rPr>
      </w:pPr>
    </w:p>
    <w:sectPr>
      <w:headerReference w:type="even" r:id="rId1"/>
      <w:headerReference w:type="default" r:id="rId2"/>
      <w:footerReference w:type="even" r:id="rId3"/>
      <w:footerReference w:type="default" r:id="rId4"/>
      <w:headerReference w:type="first" r:id="rId5"/>
      <w:footerReference w:type="first" r:id="rId6"/>
      <w:pgSz w:w="11907" w:h="16840" w:code="9"/>
      <w:pgMar w:top="1134" w:right="567" w:bottom="1134" w:left="1701" w:header="567" w:footer="567" w:gutter="0"/>
      <w:pgNumType w:start="1"/>
      <w:cols w:space="1296"/>
      <w:titlePg/>
      <w:docGrid w:linePitch="326"/>
    </w:sectPr>
  </w:body>
</w:document>
</file>

<file path=word/endnotes.xml><?xml version="1.0" encoding="utf-8"?>
<w:endnot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endnote w:type="separator" w:id="-1">
    <w:p>
      <w:r>
        <w:separator/>
      </w:r>
    </w:p>
  </w:endnote>
  <w:endnote w:type="continuationSeparator" w:id="0">
    <w:p>
      <w:r>
        <w:continuationSeparator/>
      </w:r>
    </w:p>
  </w:endnote>
</w:endnotes>
</file>

<file path=word/fontTable.xml><?xml version="1.0" encoding="utf-8"?>
<w:font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icrosoft Sans Serif">
    <w:panose1 w:val="020B0604020202020204"/>
    <w:charset w:val="BA"/>
    <w:family w:val="swiss"/>
    <w:pitch w:val="variable"/>
    <w:sig w:usb0="E5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ind w:left="357" w:hanging="357"/>
      <w:jc w:val="both"/>
      <w:rPr>
        <w:kern w:val="2"/>
        <w:szCs w:val="22"/>
      </w:rPr>
    </w:pPr>
  </w:p>
</w:ftr>
</file>

<file path=word/footer2.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ind w:left="357" w:hanging="357"/>
      <w:jc w:val="both"/>
      <w:rPr>
        <w:kern w:val="2"/>
        <w:szCs w:val="22"/>
      </w:rPr>
    </w:pPr>
  </w:p>
</w:ftr>
</file>

<file path=word/footer3.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ind w:left="357" w:hanging="357"/>
      <w:jc w:val="both"/>
      <w:rPr>
        <w:kern w:val="2"/>
        <w:szCs w:val="22"/>
      </w:rPr>
    </w:pPr>
  </w:p>
</w:ftr>
</file>

<file path=word/footer4.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ftr>
</file>

<file path=word/footer5.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ftr>
</file>

<file path=word/footer6.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ftr>
</file>

<file path=word/footer7.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ftr>
</file>

<file path=word/footer8.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ftr>
</file>

<file path=word/footer9.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ftr>
</file>

<file path=word/footer10.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11.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12.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ftr>
</file>

<file path=word/footer13.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ind w:left="357" w:hanging="357"/>
      <w:jc w:val="both"/>
      <w:rPr>
        <w:kern w:val="2"/>
        <w:szCs w:val="22"/>
      </w:rPr>
    </w:pPr>
  </w:p>
</w:ftr>
</file>

<file path=word/footer14.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ind w:left="357" w:hanging="357"/>
      <w:jc w:val="both"/>
      <w:rPr>
        <w:kern w:val="2"/>
        <w:szCs w:val="22"/>
      </w:rPr>
    </w:pPr>
  </w:p>
</w:ftr>
</file>

<file path=word/footer15.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ind w:left="357" w:hanging="357"/>
      <w:jc w:val="both"/>
      <w:rPr>
        <w:kern w:val="2"/>
        <w:szCs w:val="22"/>
      </w:rPr>
    </w:pPr>
  </w:p>
</w:ftr>
</file>

<file path=word/footnotes.xml><?xml version="1.0" encoding="utf-8"?>
<w:footnot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footnote w:type="separator" w:id="-1">
    <w:p>
      <w:r>
        <w:separator/>
      </w:r>
    </w:p>
  </w:footnote>
  <w:footnote w:type="continuationSeparator" w:id="0">
    <w:p>
      <w:r>
        <w:continuationSeparator/>
      </w:r>
    </w:p>
  </w:footnote>
</w:footnotes>
</file>

<file path=word/header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ind w:left="357" w:hanging="357"/>
      <w:jc w:val="both"/>
      <w:rPr>
        <w:kern w:val="2"/>
        <w:szCs w:val="22"/>
      </w:rPr>
    </w:pPr>
  </w:p>
</w:hdr>
</file>

<file path=word/header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ind w:left="357" w:hanging="357"/>
      <w:jc w:val="center"/>
      <w:rPr>
        <w:kern w:val="2"/>
        <w:szCs w:val="22"/>
      </w:rPr>
    </w:pPr>
    <w:r>
      <w:rPr>
        <w:kern w:val="2"/>
        <w:szCs w:val="22"/>
      </w:rPr>
      <w:fldChar w:fldCharType="begin"/>
    </w:r>
    <w:r>
      <w:rPr>
        <w:kern w:val="2"/>
        <w:szCs w:val="22"/>
      </w:rPr>
      <w:instrText>PAGE   \* MERGEFORMAT</w:instrText>
    </w:r>
    <w:r>
      <w:rPr>
        <w:kern w:val="2"/>
        <w:szCs w:val="22"/>
      </w:rPr>
      <w:fldChar w:fldCharType="separate"/>
    </w:r>
    <w:r>
      <w:rPr>
        <w:kern w:val="2"/>
        <w:szCs w:val="22"/>
      </w:rPr>
      <w:t>2</w:t>
    </w:r>
    <w:r>
      <w:rPr>
        <w:kern w:val="2"/>
        <w:szCs w:val="22"/>
      </w:rPr>
      <w:fldChar w:fldCharType="end"/>
    </w:r>
  </w:p>
</w:hdr>
</file>

<file path=word/header3.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ind w:left="357" w:hanging="357"/>
      <w:jc w:val="both"/>
      <w:rPr>
        <w:kern w:val="2"/>
        <w:szCs w:val="22"/>
      </w:rPr>
    </w:pPr>
  </w:p>
</w:hdr>
</file>

<file path=word/header4.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hdr>
</file>

<file path=word/header5.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jc w:val="center"/>
    </w:pPr>
    <w:r>
      <w:fldChar w:fldCharType="begin"/>
    </w:r>
    <w:r>
      <w:instrText>PAGE   \*</w:instrText>
    </w:r>
    <w:r>
      <w:instrText xml:space="preserve"> MERGEFORMAT</w:instrText>
    </w:r>
    <w:r>
      <w:fldChar w:fldCharType="separate"/>
    </w:r>
    <w:r>
      <w:t>2</w:t>
    </w:r>
    <w:r>
      <w:fldChar w:fldCharType="end"/>
    </w:r>
  </w:p>
  <w:p>
    <w:pPr>
      <w:tabs>
        <w:tab w:val="center" w:pos="4819"/>
        <w:tab w:val="right" w:pos="9638"/>
      </w:tabs>
    </w:pPr>
  </w:p>
</w:hdr>
</file>

<file path=word/header6.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986"/>
        <w:tab w:val="right" w:pos="9972"/>
      </w:tabs>
    </w:pPr>
  </w:p>
</w:hdr>
</file>

<file path=word/header7.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pPr>
  </w:p>
</w:hdr>
</file>

<file path=word/header8.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819"/>
        <w:tab w:val="right" w:pos="9638"/>
      </w:tabs>
      <w:jc w:val="center"/>
    </w:pPr>
    <w:r>
      <w:fldChar w:fldCharType="begin"/>
    </w:r>
    <w:r>
      <w:instrText>PAGE   \* MERGEFORMAT</w:instrText>
    </w:r>
    <w:r>
      <w:fldChar w:fldCharType="separate"/>
    </w:r>
    <w:r>
      <w:t>2</w:t>
    </w:r>
    <w:r>
      <w:fldChar w:fldCharType="end"/>
    </w:r>
  </w:p>
  <w:p>
    <w:pPr>
      <w:tabs>
        <w:tab w:val="center" w:pos="4819"/>
        <w:tab w:val="right" w:pos="9638"/>
      </w:tabs>
    </w:pPr>
  </w:p>
</w:hdr>
</file>

<file path=word/header9.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tabs>
        <w:tab w:val="center" w:pos="4986"/>
        <w:tab w:val="right" w:pos="9972"/>
      </w:tabs>
    </w:pPr>
  </w:p>
</w:hdr>
</file>

<file path=word/header10.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pPr>
  </w:p>
</w:hdr>
</file>

<file path=word/header1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pPr>
    <w:r>
      <w:fldChar w:fldCharType="begin"/>
    </w:r>
    <w:r>
      <w:instrText>PAGE   \* MERGEFORMAT</w:instrText>
    </w:r>
    <w:r>
      <w:fldChar w:fldCharType="separate"/>
    </w:r>
    <w:r>
      <w:t>2</w:t>
    </w:r>
    <w:r>
      <w:fldChar w:fldCharType="end"/>
    </w:r>
  </w:p>
  <w:p>
    <w:pPr>
      <w:tabs>
        <w:tab w:val="center" w:pos="4819"/>
        <w:tab w:val="right" w:pos="9638"/>
      </w:tabs>
    </w:pPr>
  </w:p>
</w:hdr>
</file>

<file path=word/header1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header13.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ind w:left="357" w:hanging="357"/>
      <w:jc w:val="both"/>
      <w:rPr>
        <w:kern w:val="2"/>
        <w:szCs w:val="22"/>
      </w:rPr>
    </w:pPr>
  </w:p>
</w:hdr>
</file>

<file path=word/header14.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ind w:left="357" w:hanging="357"/>
      <w:jc w:val="center"/>
      <w:rPr>
        <w:kern w:val="2"/>
        <w:szCs w:val="22"/>
      </w:rPr>
    </w:pPr>
    <w:r>
      <w:rPr>
        <w:kern w:val="2"/>
        <w:szCs w:val="22"/>
      </w:rPr>
      <w:fldChar w:fldCharType="begin"/>
    </w:r>
    <w:r>
      <w:rPr>
        <w:kern w:val="2"/>
        <w:szCs w:val="22"/>
      </w:rPr>
      <w:instrText>PAGE   \* MERGEFORMAT</w:instrText>
    </w:r>
    <w:r>
      <w:rPr>
        <w:kern w:val="2"/>
        <w:szCs w:val="22"/>
      </w:rPr>
      <w:fldChar w:fldCharType="separate"/>
    </w:r>
    <w:r>
      <w:rPr>
        <w:kern w:val="2"/>
        <w:szCs w:val="22"/>
      </w:rPr>
      <w:t>2</w:t>
    </w:r>
    <w:r>
      <w:rPr>
        <w:kern w:val="2"/>
        <w:szCs w:val="22"/>
      </w:rPr>
      <w:fldChar w:fldCharType="end"/>
    </w:r>
  </w:p>
</w:hdr>
</file>

<file path=word/header15.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ind w:left="357" w:hanging="357"/>
      <w:jc w:val="both"/>
      <w:rPr>
        <w:kern w:val="2"/>
        <w:szCs w:val="22"/>
      </w:rPr>
    </w:pPr>
  </w:p>
</w:hdr>
</file>

<file path=word/settings.xml><?xml version="1.0" encoding="utf-8"?>
<w: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zoom w:val="bestFit" w:percent="96"/>
  <w:proofState w:spelling="clean" w:grammar="clean"/>
  <w:defaultTabStop w:val="720"/>
  <w:hyphenationZone w:val="396"/>
  <w:doNotHyphenateCap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4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ED06FB-2AB1-4EB2-BC5D-09892E9A30E7}"/>
</w:settings>
</file>

<file path=word/styles.xml><?xml version="1.0" encoding="utf-8"?>
<w:styl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s>
</file>

<file path=word/stylesWithEffects.xml><?xml version="1.0" encoding="utf-8"?>
<w:styl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s>
</file>

<file path=word/webSettings.xml><?xml version="1.0" encoding="utf-8"?>
<w:web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ivs>
    <w:div w:id="201453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header" Target="header1.xml"/>
  <Relationship Id="rId10" Type="http://schemas.openxmlformats.org/officeDocument/2006/relationships/settings" Target="settings.xml"/>
  <Relationship Id="rId11" Type="http://schemas.openxmlformats.org/officeDocument/2006/relationships/styles" Target="styles.xml"/>
  <Relationship Id="rId12" Type="http://schemas.openxmlformats.org/officeDocument/2006/relationships/theme" Target="theme/theme1.xml"/>
  <Relationship Id="rId13" Type="http://schemas.openxmlformats.org/officeDocument/2006/relationships/webSettings" Target="webSettings.xml"/>
  <Relationship Id="rId14" Type="http://schemas.openxmlformats.org/officeDocument/2006/relationships/image" Target="media/image2.png"/>
  <Relationship Id="rId15" Type="http://schemas.openxmlformats.org/officeDocument/2006/relationships/header" Target="header10.xml"/>
  <Relationship Id="rId16" Type="http://schemas.openxmlformats.org/officeDocument/2006/relationships/header" Target="header11.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header" Target="header12.xml"/>
  <Relationship Id="rId2" Type="http://schemas.openxmlformats.org/officeDocument/2006/relationships/header" Target="header2.xml"/>
  <Relationship Id="rId20" Type="http://schemas.openxmlformats.org/officeDocument/2006/relationships/footer" Target="foot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15.xml"/>
  <Relationship Id="rId26" Type="http://schemas.openxmlformats.org/officeDocument/2006/relationships/footer" Target="footer15.xml"/>
  <Relationship Id="rId3" Type="http://schemas.openxmlformats.org/officeDocument/2006/relationships/footer" Target="footer1.xml"/>
  <Relationship Id="rId4" Type="http://schemas.openxmlformats.org/officeDocument/2006/relationships/footer" Target="footer2.xml"/>
  <Relationship Id="rId5" Type="http://schemas.openxmlformats.org/officeDocument/2006/relationships/header" Target="header3.xml"/>
  <Relationship Id="rId6" Type="http://schemas.openxmlformats.org/officeDocument/2006/relationships/footer" Target="footer3.xml"/>
  <Relationship Id="rId7" Type="http://schemas.openxmlformats.org/officeDocument/2006/relationships/endnotes" Target="endnotes.xml"/>
  <Relationship Id="rId8" Type="http://schemas.openxmlformats.org/officeDocument/2006/relationships/fontTable" Target="fontTable.xml"/>
  <Relationship Id="rId9" Type="http://schemas.openxmlformats.org/officeDocument/2006/relationships/footnotes" Target="footnotes.xml"/>
</Relationships>

</file>

<file path=word/glossary/_rels/document.xml.rels><?xml version="1.0" encoding="UTF-8"?>

<Relationships xmlns="http://schemas.openxmlformats.org/package/2006/relationships">
  <Relationship Id="rId1" Type="http://schemas.openxmlformats.org/officeDocument/2006/relationships/fontTable" Target="fontTable.xml"/>
  <Relationship Id="rId2" Type="http://schemas.openxmlformats.org/officeDocument/2006/relationships/settings" Target="settings.xml"/>
  <Relationship Id="rId3" Type="http://schemas.openxmlformats.org/officeDocument/2006/relationships/styles" Target="styles.xml"/>
  <Relationship Id="rId4" Type="http://schemas.microsoft.com/office/2007/relationships/stylesWithEffects" Target="stylesWithEffects.xml"/>
  <Relationship Id="rId5" Type="http://schemas.openxmlformats.org/officeDocument/2006/relationships/webSettings" Target="webSettings.xml"/>
</Relationships>

</file>

<file path=word/glossary/document.xml><?xml version="1.0" encoding="utf-8"?>
<w:glossaryDocument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docParts>
    <w:docPart>
      <w:docPartPr>
        <w:name w:val="DefaultPlaceholder_1082065158"/>
        <w:category>
          <w:name w:val="Bendrosios nuostatos"/>
          <w:gallery w:val="placeholder"/>
        </w:category>
        <w:types>
          <w:type w:val="bbPlcHdr"/>
        </w:types>
        <w:behaviors>
          <w:behavior w:val="content"/>
        </w:behaviors>
        <w:guid w:val="{0069EA98-8986-4DC5-84EA-40B42F27AC38}"/>
      </w:docPartPr>
      <w:docPartBody>
        <w:p>
          <w:r>
            <w:rPr>
              <w:rStyle w:val="Vietosrezervavimoenklotekstas"/>
            </w:rPr>
            <w:t>Spustelėkite čia, jei norite įvesti tekstą.</w:t>
          </w:r>
        </w:p>
      </w:docPartBody>
    </w:docPart>
  </w:docParts>
</w:glossaryDocument>
</file>

<file path=word/glossary/fontTable.xml><?xml version="1.0" encoding="utf-8"?>
<w:font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Microsoft Sans Serif">
    <w:panose1 w:val="020B0604020202020204"/>
    <w:charset w:val="BA"/>
    <w:family w:val="swiss"/>
    <w:pitch w:val="variable"/>
    <w:sig w:usb0="E5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glossary/settings.xml><?xml version="1.0" encoding="utf-8"?>
<w: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view w:val="normal"/>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3AD"/>
    <w:rsid w:val="00E823A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E823AD"/>
    <w:rPr>
      <w:color w:val="808080"/>
    </w:rPr>
  </w:style>
</w:styles>
</file>

<file path=word/glossary/stylesWithEffects.xml><?xml version="1.0" encoding="utf-8"?>
<w:styl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E823AD"/>
    <w:rPr>
      <w:color w:val="808080"/>
    </w:rPr>
  </w:style>
</w:styles>
</file>

<file path=word/glossary/webSettings.xml><?xml version="1.0" encoding="utf-8"?>
<w:web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Template>Normal.dotm</Template>
  <TotalTime>7</TotalTime>
  <Pages>7</Pages>
  <Words>7837</Words>
  <Characters>4468</Characters>
  <Application>Microsoft Office Word</Application>
  <DocSecurity>0</DocSecurity>
  <Lines>37</Lines>
  <Paragraphs>24</Paragraphs>
  <ScaleCrop>false</ScaleCrop>
  <HeadingPairs>
    <vt:vector xmlns:vt="http://schemas.openxmlformats.org/officeDocument/2006/docPropsVTypes" size="2" baseType="variant">
      <vt:variant>
        <vt:lpstr>Pavadinimas</vt:lpstr>
      </vt:variant>
      <vt:variant>
        <vt:i4>1</vt:i4>
      </vt:variant>
    </vt:vector>
  </HeadingPairs>
  <TitlesOfParts>
    <vt:vector xmlns:vt="http://schemas.openxmlformats.org/officeDocument/2006/docPropsVTypes" size="1" baseType="lpstr">
      <vt:lpstr/>
    </vt:vector>
  </TitlesOfParts>
  <Company/>
  <LinksUpToDate>false</LinksUpToDate>
  <CharactersWithSpaces>12281</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2021-03-26T12:30:00Z</dcterms:created>
  <dc:creator>Aldona Jurkstaite</dc:creator>
  <lastModifiedBy>JŪRĖNIENĖ Jolanta</lastModifiedBy>
  <lastPrinted>2020-01-19T11:00:00Z</lastPrinted>
  <dcterms:modified xsi:type="dcterms:W3CDTF">2024-04-05T15:27:00Z</dcterms:modified>
  <revision>5</revision>
</coreProperties>
</file>