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2597"/>
        <w:gridCol w:w="2414"/>
        <w:gridCol w:w="2224"/>
        <w:gridCol w:w="1830"/>
      </w:tblGrid>
      <w:tr w:rsidR="00143B16" w:rsidRPr="006369D0" w14:paraId="613D8122" w14:textId="77777777" w:rsidTr="00D93A5E">
        <w:trPr>
          <w:trHeight w:val="23"/>
          <w:tblHeader/>
        </w:trPr>
        <w:tc>
          <w:tcPr>
            <w:tcW w:w="9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5CBD74E9" w14:textId="03F65DAD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Pr="00065BBE">
              <w:rPr>
                <w:noProof/>
              </w:rPr>
              <w:t xml:space="preserve">Biržų  rajono savivaldybės teisės aktų </w:t>
            </w:r>
          </w:p>
          <w:p w14:paraId="6B3AFE6F" w14:textId="77777777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 projektų antikorupcinio vertinimo taisyklių </w:t>
            </w:r>
          </w:p>
          <w:p w14:paraId="513FE8D3" w14:textId="77777777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 priedas</w:t>
            </w:r>
          </w:p>
          <w:p w14:paraId="1BD3D4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883514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6343F485" w14:textId="263A683D" w:rsidR="00065BBE" w:rsidRPr="00AE6611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2021-01-     Nr. </w:t>
            </w:r>
          </w:p>
          <w:p w14:paraId="463F2397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119F0AB7" w:rsidR="00143B16" w:rsidRPr="000F61AB" w:rsidRDefault="000F61AB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0F61AB">
              <w:rPr>
                <w:b/>
                <w:bCs/>
                <w:noProof/>
                <w:u w:val="single"/>
              </w:rPr>
              <w:t>Dėl Biržų rajono savivaldybės 2021 metų užimtumo didinimo programos patvirtinimo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5D2883E2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0F61AB" w:rsidRPr="000F61AB">
              <w:rPr>
                <w:noProof/>
                <w:u w:val="single"/>
              </w:rPr>
              <w:t>Strateginio planavimo ir turto valdymo skyriaus vyriausioji</w:t>
            </w:r>
            <w:r w:rsidR="0091173C">
              <w:rPr>
                <w:noProof/>
                <w:u w:val="single"/>
              </w:rPr>
              <w:t xml:space="preserve"> </w:t>
            </w:r>
            <w:r w:rsidR="000F61AB" w:rsidRPr="000F61AB">
              <w:rPr>
                <w:noProof/>
                <w:u w:val="single"/>
              </w:rPr>
              <w:t>specialistė Daina Kolomakienė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2597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597" w:type="dxa"/>
            <w:shd w:val="clear" w:color="auto" w:fill="auto"/>
          </w:tcPr>
          <w:p w14:paraId="4B6789CA" w14:textId="77777777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shd w:val="clear" w:color="auto" w:fill="auto"/>
          </w:tcPr>
          <w:p w14:paraId="58BB5E91" w14:textId="445E78A0" w:rsidR="00143B16" w:rsidRPr="00F37EE7" w:rsidRDefault="00F37EE7" w:rsidP="00065BBE">
            <w:pPr>
              <w:spacing w:after="0" w:line="240" w:lineRule="auto"/>
              <w:jc w:val="center"/>
              <w:rPr>
                <w:noProof/>
              </w:rPr>
            </w:pPr>
            <w:r w:rsidRPr="00F37EE7">
              <w:rPr>
                <w:noProof/>
              </w:rPr>
              <w:t>Nesudaro</w:t>
            </w:r>
          </w:p>
        </w:tc>
        <w:tc>
          <w:tcPr>
            <w:tcW w:w="2224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597" w:type="dxa"/>
            <w:shd w:val="clear" w:color="auto" w:fill="auto"/>
          </w:tcPr>
          <w:p w14:paraId="4D7995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2414" w:type="dxa"/>
            <w:shd w:val="clear" w:color="auto" w:fill="auto"/>
          </w:tcPr>
          <w:p w14:paraId="4C65DC26" w14:textId="044EA42F" w:rsidR="00143B16" w:rsidRPr="00AE6611" w:rsidRDefault="00F37EE7" w:rsidP="00065BB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Nėra</w:t>
            </w:r>
          </w:p>
        </w:tc>
        <w:tc>
          <w:tcPr>
            <w:tcW w:w="2224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597" w:type="dxa"/>
            <w:shd w:val="clear" w:color="auto" w:fill="auto"/>
          </w:tcPr>
          <w:p w14:paraId="3A6A8028" w14:textId="77777777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shd w:val="clear" w:color="auto" w:fill="auto"/>
          </w:tcPr>
          <w:p w14:paraId="4738AC2A" w14:textId="525B9D31" w:rsidR="00143B16" w:rsidRPr="00AE6611" w:rsidRDefault="00F37EE7" w:rsidP="00065BB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Nenustatyta</w:t>
            </w:r>
          </w:p>
        </w:tc>
        <w:tc>
          <w:tcPr>
            <w:tcW w:w="2224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4.</w:t>
            </w:r>
          </w:p>
        </w:tc>
        <w:tc>
          <w:tcPr>
            <w:tcW w:w="2597" w:type="dxa"/>
            <w:shd w:val="clear" w:color="auto" w:fill="auto"/>
          </w:tcPr>
          <w:p w14:paraId="6335013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2414" w:type="dxa"/>
            <w:shd w:val="clear" w:color="auto" w:fill="auto"/>
          </w:tcPr>
          <w:p w14:paraId="037C0900" w14:textId="2C9107E0" w:rsidR="00143B16" w:rsidRPr="00AE6611" w:rsidRDefault="00F37EE7" w:rsidP="00065BB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Atitinka</w:t>
            </w:r>
          </w:p>
        </w:tc>
        <w:tc>
          <w:tcPr>
            <w:tcW w:w="2224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597" w:type="dxa"/>
            <w:shd w:val="clear" w:color="auto" w:fill="auto"/>
          </w:tcPr>
          <w:p w14:paraId="1E8FFF4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shd w:val="clear" w:color="auto" w:fill="auto"/>
          </w:tcPr>
          <w:p w14:paraId="22CC9710" w14:textId="07ACACD4" w:rsidR="00143B16" w:rsidRPr="00AE6611" w:rsidRDefault="000450F2" w:rsidP="00065BB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</w:t>
            </w:r>
            <w:r w:rsidR="007A2C90">
              <w:rPr>
                <w:noProof/>
              </w:rPr>
              <w:t>enu</w:t>
            </w:r>
            <w:r>
              <w:rPr>
                <w:noProof/>
              </w:rPr>
              <w:t>sta</w:t>
            </w:r>
            <w:r w:rsidR="007A2C90">
              <w:rPr>
                <w:noProof/>
              </w:rPr>
              <w:t>tytas</w:t>
            </w:r>
          </w:p>
        </w:tc>
        <w:tc>
          <w:tcPr>
            <w:tcW w:w="2224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597" w:type="dxa"/>
            <w:shd w:val="clear" w:color="auto" w:fill="auto"/>
          </w:tcPr>
          <w:p w14:paraId="75B1EA3F" w14:textId="77777777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shd w:val="clear" w:color="auto" w:fill="auto"/>
          </w:tcPr>
          <w:p w14:paraId="7A0536CB" w14:textId="46FF10F1" w:rsidR="00143B16" w:rsidRPr="00AE6611" w:rsidRDefault="000450F2" w:rsidP="00065BB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Nenustatytas</w:t>
            </w:r>
          </w:p>
        </w:tc>
        <w:tc>
          <w:tcPr>
            <w:tcW w:w="2224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597" w:type="dxa"/>
            <w:shd w:val="clear" w:color="auto" w:fill="auto"/>
          </w:tcPr>
          <w:p w14:paraId="00B3D49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shd w:val="clear" w:color="auto" w:fill="auto"/>
          </w:tcPr>
          <w:p w14:paraId="2EF7AAC4" w14:textId="77DEB473" w:rsidR="00FF2EA4" w:rsidRPr="00AE6611" w:rsidRDefault="002D6F19" w:rsidP="002D6F1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Taip – Biržų rajono savivaldybės 2021 metų užimtumo didinimo programos 21 – 26, 39 – 40 punktai.</w:t>
            </w:r>
          </w:p>
        </w:tc>
        <w:tc>
          <w:tcPr>
            <w:tcW w:w="2224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2597" w:type="dxa"/>
            <w:shd w:val="clear" w:color="auto" w:fill="auto"/>
          </w:tcPr>
          <w:p w14:paraId="7BE60EF7" w14:textId="77777777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</w:p>
          <w:p w14:paraId="43D91477" w14:textId="77777777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  <w:shd w:val="clear" w:color="auto" w:fill="auto"/>
          </w:tcPr>
          <w:p w14:paraId="5AE52F77" w14:textId="6BC64F4F" w:rsidR="00143B16" w:rsidRPr="007A2C90" w:rsidRDefault="007A2C90" w:rsidP="00065BBE">
            <w:pPr>
              <w:spacing w:after="0" w:line="240" w:lineRule="auto"/>
              <w:jc w:val="center"/>
              <w:rPr>
                <w:noProof/>
              </w:rPr>
            </w:pPr>
            <w:r w:rsidRPr="007A2C90">
              <w:rPr>
                <w:noProof/>
              </w:rPr>
              <w:t>Nenu</w:t>
            </w:r>
            <w:r w:rsidR="000450F2">
              <w:rPr>
                <w:noProof/>
              </w:rPr>
              <w:t>sta</w:t>
            </w:r>
            <w:r w:rsidRPr="007A2C90">
              <w:rPr>
                <w:noProof/>
              </w:rPr>
              <w:t>tyta</w:t>
            </w:r>
          </w:p>
        </w:tc>
        <w:tc>
          <w:tcPr>
            <w:tcW w:w="2224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597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4E3A7ED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</w:p>
        </w:tc>
        <w:tc>
          <w:tcPr>
            <w:tcW w:w="2414" w:type="dxa"/>
            <w:shd w:val="clear" w:color="auto" w:fill="auto"/>
          </w:tcPr>
          <w:p w14:paraId="7F31FFDA" w14:textId="69BA3C56" w:rsidR="00143B16" w:rsidRPr="002D6F19" w:rsidRDefault="000450F2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Nenustatyta</w:t>
            </w:r>
          </w:p>
          <w:p w14:paraId="3412BD1E" w14:textId="62981387" w:rsidR="00FF2EA4" w:rsidRPr="00AE6611" w:rsidRDefault="00FF2EA4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2224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97" w:type="dxa"/>
            <w:shd w:val="clear" w:color="auto" w:fill="auto"/>
          </w:tcPr>
          <w:p w14:paraId="0EF2A9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2414" w:type="dxa"/>
            <w:shd w:val="clear" w:color="auto" w:fill="auto"/>
          </w:tcPr>
          <w:p w14:paraId="0E6A3C34" w14:textId="4C6973A8" w:rsidR="00143B16" w:rsidRPr="00AE6611" w:rsidRDefault="00FF2EA4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Nenumatyta</w:t>
            </w:r>
          </w:p>
        </w:tc>
        <w:tc>
          <w:tcPr>
            <w:tcW w:w="2224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597" w:type="dxa"/>
            <w:shd w:val="clear" w:color="auto" w:fill="auto"/>
          </w:tcPr>
          <w:p w14:paraId="41CB79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2414" w:type="dxa"/>
            <w:shd w:val="clear" w:color="auto" w:fill="auto"/>
          </w:tcPr>
          <w:p w14:paraId="35F2E47E" w14:textId="1BB9641E" w:rsidR="00143B16" w:rsidRPr="00AE6611" w:rsidRDefault="002D6F19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</w:t>
            </w:r>
            <w:r w:rsidR="00FF2EA4">
              <w:rPr>
                <w:noProof/>
              </w:rPr>
              <w:t>enu</w:t>
            </w:r>
            <w:r>
              <w:rPr>
                <w:noProof/>
              </w:rPr>
              <w:t>statyta</w:t>
            </w:r>
          </w:p>
        </w:tc>
        <w:tc>
          <w:tcPr>
            <w:tcW w:w="2224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597" w:type="dxa"/>
            <w:shd w:val="clear" w:color="auto" w:fill="auto"/>
          </w:tcPr>
          <w:p w14:paraId="30D8318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414" w:type="dxa"/>
            <w:shd w:val="clear" w:color="auto" w:fill="auto"/>
          </w:tcPr>
          <w:p w14:paraId="70F08E7C" w14:textId="10AA443E" w:rsidR="00143B16" w:rsidRPr="00AE6611" w:rsidRDefault="002D6F19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</w:t>
            </w:r>
            <w:r w:rsidR="00FF2EA4">
              <w:rPr>
                <w:noProof/>
              </w:rPr>
              <w:t>enu</w:t>
            </w:r>
            <w:r>
              <w:rPr>
                <w:noProof/>
              </w:rPr>
              <w:t>stato</w:t>
            </w:r>
          </w:p>
        </w:tc>
        <w:tc>
          <w:tcPr>
            <w:tcW w:w="2224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97" w:type="dxa"/>
            <w:shd w:val="clear" w:color="auto" w:fill="auto"/>
          </w:tcPr>
          <w:p w14:paraId="28E60E9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2414" w:type="dxa"/>
            <w:shd w:val="clear" w:color="auto" w:fill="auto"/>
          </w:tcPr>
          <w:p w14:paraId="1CCAE9B6" w14:textId="4EFD4AE0" w:rsidR="00143B16" w:rsidRPr="00AE6611" w:rsidRDefault="002D6F19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Nenustato</w:t>
            </w:r>
          </w:p>
        </w:tc>
        <w:tc>
          <w:tcPr>
            <w:tcW w:w="2224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597" w:type="dxa"/>
            <w:shd w:val="clear" w:color="auto" w:fill="auto"/>
          </w:tcPr>
          <w:p w14:paraId="4A179061" w14:textId="779BEB84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14:paraId="050AA525" w14:textId="027D7AFA" w:rsidR="00143B16" w:rsidRPr="002D6F19" w:rsidRDefault="002D6F19" w:rsidP="0046238C">
            <w:pPr>
              <w:spacing w:after="0" w:line="240" w:lineRule="auto"/>
              <w:jc w:val="center"/>
              <w:rPr>
                <w:noProof/>
              </w:rPr>
            </w:pPr>
            <w:r w:rsidRPr="002D6F19">
              <w:rPr>
                <w:noProof/>
              </w:rPr>
              <w:t>Nenustato</w:t>
            </w:r>
          </w:p>
        </w:tc>
        <w:tc>
          <w:tcPr>
            <w:tcW w:w="2224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97" w:type="dxa"/>
            <w:shd w:val="clear" w:color="auto" w:fill="auto"/>
          </w:tcPr>
          <w:p w14:paraId="6C75E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414" w:type="dxa"/>
            <w:shd w:val="clear" w:color="auto" w:fill="auto"/>
          </w:tcPr>
          <w:p w14:paraId="02FA51CF" w14:textId="0688E439" w:rsidR="00143B16" w:rsidRPr="00AE6611" w:rsidRDefault="002D6F19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Nenustato</w:t>
            </w:r>
          </w:p>
        </w:tc>
        <w:tc>
          <w:tcPr>
            <w:tcW w:w="2224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97" w:type="dxa"/>
            <w:shd w:val="clear" w:color="auto" w:fill="auto"/>
          </w:tcPr>
          <w:p w14:paraId="51D3216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2414" w:type="dxa"/>
            <w:shd w:val="clear" w:color="auto" w:fill="auto"/>
          </w:tcPr>
          <w:p w14:paraId="2BB58ECA" w14:textId="70FBB431" w:rsidR="00143B16" w:rsidRPr="00AE6611" w:rsidRDefault="002D6F19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Nenustatytos</w:t>
            </w:r>
          </w:p>
        </w:tc>
        <w:tc>
          <w:tcPr>
            <w:tcW w:w="2224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2597" w:type="dxa"/>
            <w:shd w:val="clear" w:color="auto" w:fill="auto"/>
          </w:tcPr>
          <w:p w14:paraId="30F0D3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414" w:type="dxa"/>
            <w:shd w:val="clear" w:color="auto" w:fill="auto"/>
          </w:tcPr>
          <w:p w14:paraId="21E0BF42" w14:textId="3AECF2BA" w:rsidR="00143B16" w:rsidRPr="002D6F19" w:rsidRDefault="002D6F19" w:rsidP="0046238C">
            <w:pPr>
              <w:spacing w:after="0" w:line="240" w:lineRule="auto"/>
              <w:jc w:val="center"/>
              <w:rPr>
                <w:noProof/>
              </w:rPr>
            </w:pPr>
            <w:r w:rsidRPr="002D6F19">
              <w:rPr>
                <w:noProof/>
              </w:rPr>
              <w:t>Nenustatyta</w:t>
            </w:r>
          </w:p>
        </w:tc>
        <w:tc>
          <w:tcPr>
            <w:tcW w:w="2224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93A5E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18.</w:t>
            </w:r>
          </w:p>
        </w:tc>
        <w:tc>
          <w:tcPr>
            <w:tcW w:w="2597" w:type="dxa"/>
            <w:shd w:val="clear" w:color="auto" w:fill="auto"/>
          </w:tcPr>
          <w:p w14:paraId="46ED758A" w14:textId="36B5E99E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14:paraId="1EC2FB1D" w14:textId="1BFAC319" w:rsidR="00143B16" w:rsidRPr="00AE6611" w:rsidRDefault="002D6F19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Nenumatytas</w:t>
            </w:r>
          </w:p>
        </w:tc>
        <w:tc>
          <w:tcPr>
            <w:tcW w:w="2224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93A5E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597" w:type="dxa"/>
            <w:shd w:val="clear" w:color="auto" w:fill="auto"/>
          </w:tcPr>
          <w:p w14:paraId="074D10D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</w:p>
        </w:tc>
        <w:tc>
          <w:tcPr>
            <w:tcW w:w="2414" w:type="dxa"/>
            <w:shd w:val="clear" w:color="auto" w:fill="auto"/>
          </w:tcPr>
          <w:p w14:paraId="675B3D5A" w14:textId="77777777" w:rsidR="009A6D9D" w:rsidRDefault="000E03C8" w:rsidP="0046238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Administracijos direktoriaus 2020-02-12 įsakymas Nr. A-111 – juo pakeista (naujai sudaryta) Darbdavių laikiniesiems darbams atlikti atrankos komisija</w:t>
            </w:r>
          </w:p>
          <w:p w14:paraId="328B790C" w14:textId="324D9D82" w:rsidR="00143B16" w:rsidRPr="00AE6611" w:rsidRDefault="00143B16" w:rsidP="0046238C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224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</w:rPr>
            </w:r>
            <w:r w:rsidR="00907CF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D93A5E">
              <w:rPr>
                <w:noProof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5E">
              <w:rPr>
                <w:noProof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07CFB">
              <w:rPr>
                <w:noProof/>
                <w:sz w:val="22"/>
                <w:szCs w:val="22"/>
                <w:shd w:val="clear" w:color="auto" w:fill="FFFFFF" w:themeFill="background1"/>
              </w:rPr>
            </w:r>
            <w:r w:rsidR="00907CFB">
              <w:rPr>
                <w:noProof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D93A5E">
              <w:rPr>
                <w:noProof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D93A5E">
              <w:rPr>
                <w:noProof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092D53C3" w14:textId="651295E2" w:rsidR="00A91C8C" w:rsidRPr="00A91C8C" w:rsidRDefault="00A91C8C" w:rsidP="00A91C8C">
      <w:pPr>
        <w:tabs>
          <w:tab w:val="left" w:pos="1247"/>
        </w:tabs>
        <w:spacing w:after="0" w:line="360" w:lineRule="auto"/>
      </w:pPr>
      <w:r>
        <w:t xml:space="preserve">Teisės akto projekto tiesioginis rengėjas </w:t>
      </w:r>
    </w:p>
    <w:p w14:paraId="2AF31471" w14:textId="50C4C162" w:rsidR="00A91C8C" w:rsidRDefault="00A91C8C" w:rsidP="00A91C8C">
      <w:pPr>
        <w:tabs>
          <w:tab w:val="left" w:pos="1247"/>
        </w:tabs>
        <w:spacing w:after="0" w:line="360" w:lineRule="auto"/>
        <w:rPr>
          <w:u w:val="single"/>
        </w:rPr>
      </w:pPr>
      <w:r>
        <w:rPr>
          <w:u w:val="single"/>
        </w:rPr>
        <w:t xml:space="preserve">Strateginio planavimo ir turto valdymo skyriaus vyr. specialistė      Daina Kolomakienė 2021-01-22 </w:t>
      </w:r>
    </w:p>
    <w:p w14:paraId="4A63FA28" w14:textId="2B55364D" w:rsidR="00A91C8C" w:rsidRDefault="00A91C8C" w:rsidP="00A91C8C">
      <w:pPr>
        <w:tabs>
          <w:tab w:val="left" w:pos="124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(pareigos)                                                               (parašas)   (vardas, pavardė)         (data)</w:t>
      </w:r>
    </w:p>
    <w:p w14:paraId="7880B8D4" w14:textId="77777777" w:rsidR="00A91C8C" w:rsidRDefault="00A91C8C" w:rsidP="00A91C8C">
      <w:pPr>
        <w:spacing w:after="0" w:line="240" w:lineRule="auto"/>
      </w:pPr>
      <w:r>
        <w:t xml:space="preserve"> </w:t>
      </w:r>
    </w:p>
    <w:p w14:paraId="7D3F9738" w14:textId="77777777" w:rsidR="00A91C8C" w:rsidRDefault="00A91C8C" w:rsidP="00A91C8C">
      <w:pPr>
        <w:spacing w:after="0" w:line="240" w:lineRule="auto"/>
      </w:pPr>
      <w:r>
        <w:t xml:space="preserve">Teisės akto projekto vertintojas </w:t>
      </w:r>
    </w:p>
    <w:p w14:paraId="0B994971" w14:textId="77777777" w:rsidR="00A91C8C" w:rsidRDefault="00A91C8C" w:rsidP="00A91C8C">
      <w:pPr>
        <w:tabs>
          <w:tab w:val="left" w:pos="1247"/>
        </w:tabs>
        <w:spacing w:after="0" w:line="360" w:lineRule="auto"/>
        <w:rPr>
          <w:u w:val="single"/>
        </w:rPr>
      </w:pPr>
      <w:r>
        <w:rPr>
          <w:u w:val="single"/>
        </w:rPr>
        <w:t xml:space="preserve">Teisės ir civilinės metrikacijos skyriaus vedėjas                    Stanislovas Paškevičius      2021-01-22 </w:t>
      </w:r>
    </w:p>
    <w:p w14:paraId="12A31E8A" w14:textId="77777777" w:rsidR="00A91C8C" w:rsidRDefault="00A91C8C" w:rsidP="00A91C8C">
      <w:pPr>
        <w:tabs>
          <w:tab w:val="left" w:pos="124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(pareigos)                                           (parašas)          (vardas, pavardė)                     (data)</w:t>
      </w:r>
    </w:p>
    <w:p w14:paraId="16D7473D" w14:textId="77777777" w:rsidR="00A91C8C" w:rsidRDefault="00A91C8C" w:rsidP="00A91C8C">
      <w:pPr>
        <w:spacing w:after="0" w:line="240" w:lineRule="auto"/>
        <w:rPr>
          <w:noProof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97049D">
      <w:headerReference w:type="default" r:id="rId6"/>
      <w:headerReference w:type="first" r:id="rId7"/>
      <w:footerReference w:type="first" r:id="rId8"/>
      <w:pgSz w:w="11907" w:h="16840" w:code="9"/>
      <w:pgMar w:top="1134" w:right="567" w:bottom="1276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09AF" w14:textId="77777777" w:rsidR="00143B16" w:rsidRDefault="00143B16" w:rsidP="00156612">
      <w:pPr>
        <w:spacing w:after="0" w:line="240" w:lineRule="auto"/>
      </w:pPr>
      <w:r>
        <w:separator/>
      </w:r>
    </w:p>
  </w:endnote>
  <w:endnote w:type="continuationSeparator" w:id="0">
    <w:p w14:paraId="1FE4064E" w14:textId="77777777" w:rsidR="00143B16" w:rsidRDefault="00143B16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F192" w14:textId="77777777" w:rsidR="00143B16" w:rsidRDefault="00143B16" w:rsidP="00156612">
      <w:pPr>
        <w:spacing w:after="0" w:line="240" w:lineRule="auto"/>
      </w:pPr>
      <w:r>
        <w:separator/>
      </w:r>
    </w:p>
  </w:footnote>
  <w:footnote w:type="continuationSeparator" w:id="0">
    <w:p w14:paraId="3DF7D922" w14:textId="77777777" w:rsidR="00143B16" w:rsidRDefault="00143B16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77777777" w:rsidR="00143B16" w:rsidRDefault="00D93A5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B16">
      <w:rPr>
        <w:noProof/>
      </w:rPr>
      <w:t>2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Header"/>
      <w:jc w:val="center"/>
    </w:pPr>
  </w:p>
  <w:p w14:paraId="7EA6FB65" w14:textId="77777777" w:rsidR="00143B16" w:rsidRPr="0097049D" w:rsidRDefault="00143B16" w:rsidP="009704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8"/>
    <w:rsid w:val="000450F2"/>
    <w:rsid w:val="00065BBE"/>
    <w:rsid w:val="000E03C8"/>
    <w:rsid w:val="000F61AB"/>
    <w:rsid w:val="00120701"/>
    <w:rsid w:val="00143B16"/>
    <w:rsid w:val="00156612"/>
    <w:rsid w:val="00167458"/>
    <w:rsid w:val="001E2FC3"/>
    <w:rsid w:val="00277F94"/>
    <w:rsid w:val="0028296C"/>
    <w:rsid w:val="002D6F19"/>
    <w:rsid w:val="0046238C"/>
    <w:rsid w:val="00557E38"/>
    <w:rsid w:val="006369D0"/>
    <w:rsid w:val="00655380"/>
    <w:rsid w:val="00657BF2"/>
    <w:rsid w:val="00726EE3"/>
    <w:rsid w:val="007A2C90"/>
    <w:rsid w:val="0083080F"/>
    <w:rsid w:val="00894B19"/>
    <w:rsid w:val="00903182"/>
    <w:rsid w:val="00907CFB"/>
    <w:rsid w:val="0091173C"/>
    <w:rsid w:val="00964AAD"/>
    <w:rsid w:val="0097049D"/>
    <w:rsid w:val="009A6D9D"/>
    <w:rsid w:val="00A91C8C"/>
    <w:rsid w:val="00AE6611"/>
    <w:rsid w:val="00BB5BF4"/>
    <w:rsid w:val="00C74236"/>
    <w:rsid w:val="00D93A5E"/>
    <w:rsid w:val="00F37EE7"/>
    <w:rsid w:val="00F708B6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611"/>
  </w:style>
  <w:style w:type="paragraph" w:styleId="Footer">
    <w:name w:val="footer"/>
    <w:basedOn w:val="Normal"/>
    <w:link w:val="FooterChar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6611"/>
  </w:style>
  <w:style w:type="character" w:styleId="PageNumber">
    <w:name w:val="page number"/>
    <w:basedOn w:val="DefaultParagraphFont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Severina Aučinaitė</cp:lastModifiedBy>
  <cp:revision>2</cp:revision>
  <cp:lastPrinted>2021-01-22T08:33:00Z</cp:lastPrinted>
  <dcterms:created xsi:type="dcterms:W3CDTF">2022-02-01T18:55:00Z</dcterms:created>
  <dcterms:modified xsi:type="dcterms:W3CDTF">2022-02-01T18:55:00Z</dcterms:modified>
</cp:coreProperties>
</file>